
<file path=[Content_Types].xml><?xml version="1.0" encoding="utf-8"?>
<Types xmlns="http://schemas.openxmlformats.org/package/2006/content-types">
  <Default Extension="wmf" ContentType="image/x-wmf"/>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59B017B">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黑体" w:hAnsi="黑体" w:eastAsia="黑体" w:cs="黑体"/>
          <w:sz w:val="32"/>
          <w:szCs w:val="21"/>
          <w:lang w:val="en-US"/>
        </w:rPr>
      </w:pPr>
      <w:r>
        <w:rPr>
          <w:rFonts w:hint="eastAsia" w:ascii="方正仿宋_GB2312" w:hAnsi="方正仿宋_GB2312" w:eastAsia="方正仿宋_GB2312" w:cs="方正仿宋_GB2312"/>
          <w:sz w:val="32"/>
          <w:szCs w:val="32"/>
        </w:rPr>
        <w:t>附件</w:t>
      </w:r>
      <w:r>
        <w:rPr>
          <w:rFonts w:hint="eastAsia" w:ascii="方正仿宋_GB2312" w:hAnsi="方正仿宋_GB2312" w:eastAsia="方正仿宋_GB2312" w:cs="方正仿宋_GB2312"/>
          <w:sz w:val="32"/>
          <w:szCs w:val="32"/>
          <w:lang w:val="en-US" w:eastAsia="zh-CN"/>
        </w:rPr>
        <w:t>5-11-1</w:t>
      </w:r>
    </w:p>
    <w:p w14:paraId="72A8AF3C">
      <w:pPr>
        <w:contextualSpacing/>
        <w:jc w:val="center"/>
        <w:rPr>
          <w:rFonts w:ascii="黑体" w:hAnsi="黑体" w:eastAsia="黑体" w:cs="黑体"/>
          <w:sz w:val="32"/>
          <w:szCs w:val="21"/>
        </w:rPr>
      </w:pPr>
      <w:r>
        <w:rPr>
          <w:rFonts w:hint="eastAsia" w:ascii="黑体" w:hAnsi="黑体" w:eastAsia="黑体" w:cs="黑体"/>
          <w:sz w:val="32"/>
          <w:szCs w:val="21"/>
        </w:rPr>
        <w:t>医疗类病案报告模板</w:t>
      </w:r>
    </w:p>
    <w:tbl>
      <w:tblPr>
        <w:tblStyle w:val="13"/>
        <w:tblpPr w:leftFromText="180" w:rightFromText="180" w:vertAnchor="text" w:horzAnchor="page" w:tblpX="702" w:tblpY="308"/>
        <w:tblOverlap w:val="never"/>
        <w:tblW w:w="10343"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29"/>
        <w:gridCol w:w="4962"/>
        <w:gridCol w:w="4252"/>
      </w:tblGrid>
      <w:tr w14:paraId="4E5F8C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5" w:hRule="atLeast"/>
        </w:trPr>
        <w:tc>
          <w:tcPr>
            <w:tcW w:w="1129" w:type="dxa"/>
            <w:vAlign w:val="center"/>
          </w:tcPr>
          <w:p w14:paraId="4F4CF8C0">
            <w:pPr>
              <w:contextualSpacing/>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内容</w:t>
            </w:r>
          </w:p>
        </w:tc>
        <w:tc>
          <w:tcPr>
            <w:tcW w:w="4962" w:type="dxa"/>
            <w:vAlign w:val="center"/>
          </w:tcPr>
          <w:p w14:paraId="46CE4ECA">
            <w:pPr>
              <w:contextualSpacing/>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写作要点</w:t>
            </w:r>
          </w:p>
        </w:tc>
        <w:tc>
          <w:tcPr>
            <w:tcW w:w="4252" w:type="dxa"/>
            <w:vAlign w:val="center"/>
          </w:tcPr>
          <w:p w14:paraId="1CC036AB">
            <w:pPr>
              <w:ind w:right="2442" w:rightChars="1163"/>
              <w:contextualSpacing/>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备注说明</w:t>
            </w:r>
          </w:p>
        </w:tc>
      </w:tr>
      <w:tr w14:paraId="1B9FE9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2" w:hRule="atLeast"/>
        </w:trPr>
        <w:tc>
          <w:tcPr>
            <w:tcW w:w="1129" w:type="dxa"/>
            <w:vAlign w:val="center"/>
          </w:tcPr>
          <w:p w14:paraId="531755E7">
            <w:pPr>
              <w:contextualSpacing/>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题目</w:t>
            </w:r>
          </w:p>
        </w:tc>
        <w:tc>
          <w:tcPr>
            <w:tcW w:w="4962" w:type="dxa"/>
          </w:tcPr>
          <w:p w14:paraId="5CC092D8">
            <w:pPr>
              <w:contextualSpacing/>
              <w:rPr>
                <w:rFonts w:asciiTheme="minorEastAsia" w:hAnsiTheme="minorEastAsia" w:cstheme="minorEastAsia"/>
                <w:sz w:val="18"/>
                <w:szCs w:val="18"/>
              </w:rPr>
            </w:pPr>
            <w:r>
              <w:rPr>
                <w:rFonts w:hint="eastAsia" w:asciiTheme="minorEastAsia" w:hAnsiTheme="minorEastAsia" w:cstheme="minorEastAsia"/>
                <w:sz w:val="18"/>
                <w:szCs w:val="18"/>
              </w:rPr>
              <w:t>□题目应体现研究类型为“病案报告”</w:t>
            </w:r>
          </w:p>
          <w:p w14:paraId="63DDEAD1">
            <w:pPr>
              <w:contextualSpacing/>
              <w:rPr>
                <w:rFonts w:asciiTheme="minorEastAsia" w:hAnsiTheme="minorEastAsia" w:cstheme="minorEastAsia"/>
                <w:sz w:val="18"/>
                <w:szCs w:val="18"/>
              </w:rPr>
            </w:pPr>
            <w:r>
              <w:rPr>
                <w:rFonts w:hint="eastAsia" w:asciiTheme="minorEastAsia" w:hAnsiTheme="minorEastAsia" w:cstheme="minorEastAsia"/>
                <w:sz w:val="18"/>
                <w:szCs w:val="18"/>
              </w:rPr>
              <w:t>□题目可选“【几】例（案、则）/【特殊性】/【疾病名称】/【疑难】/【病案报告】（个案/报告）”</w:t>
            </w:r>
          </w:p>
        </w:tc>
        <w:tc>
          <w:tcPr>
            <w:tcW w:w="4252" w:type="dxa"/>
          </w:tcPr>
          <w:p w14:paraId="4B245800">
            <w:pPr>
              <w:contextualSpacing/>
              <w:jc w:val="left"/>
              <w:rPr>
                <w:rFonts w:asciiTheme="minorEastAsia" w:hAnsiTheme="minorEastAsia" w:cstheme="minorEastAsia"/>
                <w:sz w:val="18"/>
                <w:szCs w:val="18"/>
              </w:rPr>
            </w:pPr>
            <w:r>
              <w:rPr>
                <w:rFonts w:hint="eastAsia" w:asciiTheme="minorEastAsia" w:hAnsiTheme="minorEastAsia" w:cstheme="minorEastAsia"/>
                <w:sz w:val="18"/>
                <w:szCs w:val="18"/>
              </w:rPr>
              <w:t>必填，少于20字，不使用外文缩写词，需体现病例的特殊性和研究重点。</w:t>
            </w:r>
          </w:p>
        </w:tc>
      </w:tr>
      <w:tr w14:paraId="3B3DE9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5" w:hRule="atLeast"/>
        </w:trPr>
        <w:tc>
          <w:tcPr>
            <w:tcW w:w="1129" w:type="dxa"/>
            <w:vAlign w:val="center"/>
          </w:tcPr>
          <w:p w14:paraId="6D227470">
            <w:pPr>
              <w:contextualSpacing/>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作者署名及其单位</w:t>
            </w:r>
          </w:p>
        </w:tc>
        <w:tc>
          <w:tcPr>
            <w:tcW w:w="4962" w:type="dxa"/>
          </w:tcPr>
          <w:p w14:paraId="063657CF">
            <w:pPr>
              <w:contextualSpacing/>
              <w:rPr>
                <w:rFonts w:asciiTheme="minorEastAsia" w:hAnsiTheme="minorEastAsia" w:cstheme="minorEastAsia"/>
                <w:sz w:val="18"/>
                <w:szCs w:val="18"/>
              </w:rPr>
            </w:pPr>
            <w:r>
              <w:rPr>
                <w:rFonts w:hint="eastAsia" w:asciiTheme="minorEastAsia" w:hAnsiTheme="minorEastAsia" w:cstheme="minorEastAsia"/>
                <w:sz w:val="18"/>
                <w:szCs w:val="18"/>
              </w:rPr>
              <w:t>□申报人姓名采用姓在前、名在后</w:t>
            </w:r>
          </w:p>
          <w:p w14:paraId="429C9EE7">
            <w:pPr>
              <w:contextualSpacing/>
              <w:rPr>
                <w:rFonts w:asciiTheme="minorEastAsia" w:hAnsiTheme="minorEastAsia" w:cstheme="minorEastAsia"/>
                <w:sz w:val="18"/>
                <w:szCs w:val="18"/>
              </w:rPr>
            </w:pPr>
            <w:r>
              <w:rPr>
                <w:rFonts w:hint="eastAsia" w:asciiTheme="minorEastAsia" w:hAnsiTheme="minorEastAsia" w:cstheme="minorEastAsia"/>
                <w:sz w:val="18"/>
                <w:szCs w:val="18"/>
              </w:rPr>
              <w:t>□申报人单位填写职称申报单位（如：XX医院，XX大学附属医院，XX中心），具体到二级机构（如XX科室，XX部门）</w:t>
            </w:r>
          </w:p>
          <w:p w14:paraId="5D214207">
            <w:pPr>
              <w:contextualSpacing/>
              <w:rPr>
                <w:rFonts w:asciiTheme="minorEastAsia" w:hAnsiTheme="minorEastAsia" w:cstheme="minorEastAsia"/>
                <w:sz w:val="18"/>
                <w:szCs w:val="18"/>
              </w:rPr>
            </w:pPr>
            <w:r>
              <w:rPr>
                <w:rFonts w:hint="eastAsia" w:asciiTheme="minorEastAsia" w:hAnsiTheme="minorEastAsia" w:cstheme="minorEastAsia"/>
                <w:sz w:val="18"/>
                <w:szCs w:val="18"/>
              </w:rPr>
              <w:t>□写明申报人目前职称、专业及拟申报职称、专业</w:t>
            </w:r>
          </w:p>
        </w:tc>
        <w:tc>
          <w:tcPr>
            <w:tcW w:w="4252" w:type="dxa"/>
          </w:tcPr>
          <w:p w14:paraId="2DBB3C31">
            <w:pPr>
              <w:contextualSpacing/>
              <w:jc w:val="left"/>
              <w:rPr>
                <w:rFonts w:asciiTheme="minorEastAsia" w:hAnsiTheme="minorEastAsia" w:cstheme="minorEastAsia"/>
                <w:sz w:val="18"/>
                <w:szCs w:val="18"/>
              </w:rPr>
            </w:pPr>
            <w:r>
              <w:rPr>
                <w:rFonts w:hint="eastAsia" w:asciiTheme="minorEastAsia" w:hAnsiTheme="minorEastAsia" w:cstheme="minorEastAsia"/>
                <w:sz w:val="18"/>
                <w:szCs w:val="18"/>
              </w:rPr>
              <w:t>必填，单位名称需官方准确。</w:t>
            </w:r>
          </w:p>
        </w:tc>
      </w:tr>
      <w:tr w14:paraId="3489BD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1129" w:type="dxa"/>
            <w:vAlign w:val="center"/>
          </w:tcPr>
          <w:p w14:paraId="4FACF540">
            <w:pPr>
              <w:contextualSpacing/>
              <w:jc w:val="center"/>
              <w:rPr>
                <w:rFonts w:asciiTheme="minorEastAsia" w:hAnsiTheme="minorEastAsia" w:cstheme="minorEastAsia"/>
                <w:b/>
                <w:bCs/>
                <w:sz w:val="18"/>
                <w:szCs w:val="18"/>
                <w:highlight w:val="none"/>
              </w:rPr>
            </w:pPr>
            <w:r>
              <w:rPr>
                <w:rFonts w:hint="eastAsia" w:asciiTheme="minorEastAsia" w:hAnsiTheme="minorEastAsia" w:cstheme="minorEastAsia"/>
                <w:b/>
                <w:bCs/>
                <w:sz w:val="18"/>
                <w:szCs w:val="18"/>
                <w:highlight w:val="none"/>
              </w:rPr>
              <w:t>引言</w:t>
            </w:r>
          </w:p>
        </w:tc>
        <w:tc>
          <w:tcPr>
            <w:tcW w:w="4962" w:type="dxa"/>
          </w:tcPr>
          <w:p w14:paraId="1143FF54">
            <w:pPr>
              <w:contextualSpacing/>
              <w:rPr>
                <w:rFonts w:asciiTheme="minorEastAsia" w:hAnsiTheme="minorEastAsia" w:cstheme="minorEastAsia"/>
                <w:sz w:val="18"/>
                <w:szCs w:val="18"/>
                <w:highlight w:val="none"/>
              </w:rPr>
            </w:pPr>
            <w:r>
              <w:rPr>
                <w:rFonts w:hint="eastAsia" w:asciiTheme="minorEastAsia" w:hAnsiTheme="minorEastAsia" w:cstheme="minorEastAsia"/>
                <w:sz w:val="18"/>
                <w:szCs w:val="18"/>
                <w:highlight w:val="none"/>
              </w:rPr>
              <w:t>□简要总结该病例的背景情况</w:t>
            </w:r>
          </w:p>
          <w:p w14:paraId="0D8ABFA1">
            <w:pPr>
              <w:contextualSpacing/>
              <w:rPr>
                <w:rFonts w:asciiTheme="minorEastAsia" w:hAnsiTheme="minorEastAsia" w:cstheme="minorEastAsia"/>
                <w:sz w:val="18"/>
                <w:szCs w:val="18"/>
                <w:highlight w:val="none"/>
              </w:rPr>
            </w:pPr>
            <w:r>
              <w:rPr>
                <w:rFonts w:hint="eastAsia" w:asciiTheme="minorEastAsia" w:hAnsiTheme="minorEastAsia" w:cstheme="minorEastAsia"/>
                <w:sz w:val="18"/>
                <w:szCs w:val="18"/>
                <w:highlight w:val="none"/>
              </w:rPr>
              <w:t>□</w:t>
            </w:r>
            <w:r>
              <w:rPr>
                <w:rFonts w:hint="eastAsia" w:asciiTheme="minorEastAsia" w:hAnsiTheme="minorEastAsia" w:cstheme="minorEastAsia"/>
                <w:b/>
                <w:bCs/>
                <w:sz w:val="18"/>
                <w:szCs w:val="18"/>
                <w:highlight w:val="none"/>
              </w:rPr>
              <w:t>撰写</w:t>
            </w:r>
            <w:r>
              <w:rPr>
                <w:rFonts w:hint="eastAsia" w:asciiTheme="minorEastAsia" w:hAnsiTheme="minorEastAsia" w:cstheme="minorEastAsia"/>
                <w:b/>
                <w:bCs/>
                <w:sz w:val="18"/>
                <w:szCs w:val="18"/>
                <w:highlight w:val="none"/>
                <w:lang w:val="en-US" w:eastAsia="zh-CN"/>
              </w:rPr>
              <w:t>选取该病例的原因，</w:t>
            </w:r>
            <w:r>
              <w:rPr>
                <w:rFonts w:hint="eastAsia" w:asciiTheme="minorEastAsia" w:hAnsiTheme="minorEastAsia" w:cstheme="minorEastAsia"/>
                <w:b/>
                <w:bCs/>
                <w:sz w:val="18"/>
                <w:szCs w:val="18"/>
                <w:highlight w:val="none"/>
              </w:rPr>
              <w:t>该病例的特殊性</w:t>
            </w:r>
            <w:r>
              <w:rPr>
                <w:rFonts w:hint="eastAsia" w:asciiTheme="minorEastAsia" w:hAnsiTheme="minorEastAsia" w:cstheme="minorEastAsia"/>
                <w:b/>
                <w:bCs/>
                <w:sz w:val="18"/>
                <w:szCs w:val="18"/>
                <w:highlight w:val="none"/>
                <w:lang w:eastAsia="zh-CN"/>
              </w:rPr>
              <w:t>，</w:t>
            </w:r>
            <w:r>
              <w:rPr>
                <w:rFonts w:hint="eastAsia" w:asciiTheme="minorEastAsia" w:hAnsiTheme="minorEastAsia" w:cstheme="minorEastAsia"/>
                <w:b/>
                <w:bCs/>
                <w:sz w:val="18"/>
                <w:szCs w:val="18"/>
                <w:highlight w:val="none"/>
                <w:lang w:val="en-US" w:eastAsia="zh-CN"/>
              </w:rPr>
              <w:t>工作亮点</w:t>
            </w:r>
          </w:p>
          <w:p w14:paraId="34A92F57">
            <w:pPr>
              <w:contextualSpacing/>
              <w:rPr>
                <w:rFonts w:asciiTheme="minorEastAsia" w:hAnsiTheme="minorEastAsia" w:cstheme="minorEastAsia"/>
                <w:sz w:val="18"/>
                <w:szCs w:val="18"/>
                <w:highlight w:val="none"/>
              </w:rPr>
            </w:pPr>
            <w:r>
              <w:rPr>
                <w:rFonts w:hint="eastAsia" w:asciiTheme="minorEastAsia" w:hAnsiTheme="minorEastAsia" w:cstheme="minorEastAsia"/>
                <w:sz w:val="18"/>
                <w:szCs w:val="18"/>
                <w:highlight w:val="none"/>
              </w:rPr>
              <w:t>□本病例当前的诊疗标准以及本病例的贡献或特性，来源和出处可标注参考文献</w:t>
            </w:r>
          </w:p>
        </w:tc>
        <w:tc>
          <w:tcPr>
            <w:tcW w:w="4252" w:type="dxa"/>
          </w:tcPr>
          <w:p w14:paraId="244A4CFA">
            <w:pPr>
              <w:tabs>
                <w:tab w:val="left" w:pos="3150"/>
              </w:tabs>
              <w:contextualSpacing/>
              <w:jc w:val="left"/>
              <w:rPr>
                <w:rFonts w:asciiTheme="minorEastAsia" w:hAnsiTheme="minorEastAsia" w:cstheme="minorEastAsia"/>
                <w:sz w:val="18"/>
                <w:szCs w:val="18"/>
                <w:highlight w:val="none"/>
              </w:rPr>
            </w:pPr>
            <w:r>
              <w:rPr>
                <w:rFonts w:hint="eastAsia" w:asciiTheme="minorEastAsia" w:hAnsiTheme="minorEastAsia" w:cstheme="minorEastAsia"/>
                <w:sz w:val="18"/>
                <w:szCs w:val="18"/>
                <w:highlight w:val="none"/>
              </w:rPr>
              <w:t>必填，200字以内，客观描述。</w:t>
            </w:r>
          </w:p>
        </w:tc>
      </w:tr>
      <w:tr w14:paraId="345A7C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5" w:hRule="atLeast"/>
        </w:trPr>
        <w:tc>
          <w:tcPr>
            <w:tcW w:w="10343" w:type="dxa"/>
            <w:gridSpan w:val="3"/>
            <w:vAlign w:val="center"/>
          </w:tcPr>
          <w:p w14:paraId="189D291A">
            <w:pPr>
              <w:contextualSpacing/>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1</w:t>
            </w:r>
            <w:r>
              <w:rPr>
                <w:rFonts w:asciiTheme="minorEastAsia" w:hAnsiTheme="minorEastAsia" w:cstheme="minorEastAsia"/>
                <w:b/>
                <w:bCs/>
                <w:sz w:val="18"/>
                <w:szCs w:val="18"/>
              </w:rPr>
              <w:t>.</w:t>
            </w:r>
            <w:r>
              <w:rPr>
                <w:rFonts w:hint="eastAsia" w:asciiTheme="minorEastAsia" w:hAnsiTheme="minorEastAsia" w:cstheme="minorEastAsia"/>
                <w:b/>
                <w:bCs/>
                <w:sz w:val="18"/>
                <w:szCs w:val="18"/>
              </w:rPr>
              <w:t>病例资料</w:t>
            </w:r>
          </w:p>
        </w:tc>
      </w:tr>
      <w:tr w14:paraId="51DD1F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8" w:hRule="atLeast"/>
        </w:trPr>
        <w:tc>
          <w:tcPr>
            <w:tcW w:w="1129" w:type="dxa"/>
            <w:vAlign w:val="center"/>
          </w:tcPr>
          <w:p w14:paraId="7509B1CD">
            <w:pPr>
              <w:contextualSpacing/>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 xml:space="preserve">1.1 </w:t>
            </w:r>
          </w:p>
          <w:p w14:paraId="29E7B4A4">
            <w:pPr>
              <w:contextualSpacing/>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患者信息及病史</w:t>
            </w:r>
          </w:p>
        </w:tc>
        <w:tc>
          <w:tcPr>
            <w:tcW w:w="4962" w:type="dxa"/>
          </w:tcPr>
          <w:p w14:paraId="48280992">
            <w:pPr>
              <w:contextualSpacing/>
              <w:rPr>
                <w:rFonts w:asciiTheme="minorEastAsia" w:hAnsiTheme="minorEastAsia" w:cstheme="minorEastAsia"/>
                <w:sz w:val="18"/>
                <w:szCs w:val="18"/>
              </w:rPr>
            </w:pPr>
            <w:r>
              <w:rPr>
                <w:rFonts w:hint="eastAsia" w:asciiTheme="minorEastAsia" w:hAnsiTheme="minorEastAsia" w:cstheme="minorEastAsia"/>
                <w:sz w:val="18"/>
                <w:szCs w:val="18"/>
              </w:rPr>
              <w:t>□患者人口学信息、病历号、出入院时间/接诊时间及其他</w:t>
            </w:r>
          </w:p>
          <w:p w14:paraId="35A351D8">
            <w:pPr>
              <w:contextualSpacing/>
              <w:rPr>
                <w:rFonts w:asciiTheme="minorEastAsia" w:hAnsiTheme="minorEastAsia" w:cstheme="minorEastAsia"/>
                <w:sz w:val="18"/>
                <w:szCs w:val="18"/>
              </w:rPr>
            </w:pPr>
            <w:r>
              <w:rPr>
                <w:rFonts w:hint="eastAsia" w:asciiTheme="minorEastAsia" w:hAnsiTheme="minorEastAsia" w:cstheme="minorEastAsia"/>
                <w:sz w:val="18"/>
                <w:szCs w:val="18"/>
              </w:rPr>
              <w:t>□主诉：促使患者本次就诊的主要症状</w:t>
            </w:r>
          </w:p>
          <w:p w14:paraId="334D2B12">
            <w:pPr>
              <w:contextualSpacing/>
              <w:rPr>
                <w:rFonts w:asciiTheme="minorEastAsia" w:hAnsiTheme="minorEastAsia" w:cstheme="minorEastAsia"/>
                <w:sz w:val="18"/>
                <w:szCs w:val="18"/>
              </w:rPr>
            </w:pPr>
            <w:r>
              <w:rPr>
                <w:rFonts w:hint="eastAsia" w:asciiTheme="minorEastAsia" w:hAnsiTheme="minorEastAsia" w:cstheme="minorEastAsia"/>
                <w:sz w:val="18"/>
                <w:szCs w:val="18"/>
              </w:rPr>
              <w:t>□现病史：按时间顺序、以时间轴为纲对本病例的主要症状和诊疗过程进行描述</w:t>
            </w:r>
          </w:p>
          <w:p w14:paraId="375F4A48">
            <w:pPr>
              <w:contextualSpacing/>
              <w:rPr>
                <w:rFonts w:asciiTheme="minorEastAsia" w:hAnsiTheme="minorEastAsia" w:cstheme="minorEastAsia"/>
                <w:sz w:val="18"/>
                <w:szCs w:val="18"/>
              </w:rPr>
            </w:pPr>
            <w:r>
              <w:rPr>
                <w:rFonts w:hint="eastAsia" w:asciiTheme="minorEastAsia" w:hAnsiTheme="minorEastAsia" w:cstheme="minorEastAsia"/>
                <w:sz w:val="18"/>
                <w:szCs w:val="18"/>
              </w:rPr>
              <w:t>□既往史：家族史，手术史，心理状况，生活方式，遗传信息，流行病学史等，包括既往干预措施和结果</w:t>
            </w:r>
          </w:p>
        </w:tc>
        <w:tc>
          <w:tcPr>
            <w:tcW w:w="4252" w:type="dxa"/>
          </w:tcPr>
          <w:p w14:paraId="3538970B">
            <w:pPr>
              <w:contextualSpacing/>
              <w:jc w:val="left"/>
              <w:rPr>
                <w:rFonts w:asciiTheme="minorEastAsia" w:hAnsiTheme="minorEastAsia" w:cstheme="minorEastAsia"/>
                <w:sz w:val="18"/>
                <w:szCs w:val="18"/>
              </w:rPr>
            </w:pPr>
            <w:r>
              <w:rPr>
                <w:rFonts w:hint="eastAsia" w:asciiTheme="minorEastAsia" w:hAnsiTheme="minorEastAsia" w:cstheme="minorEastAsia"/>
                <w:sz w:val="18"/>
                <w:szCs w:val="18"/>
              </w:rPr>
              <w:t>必填，不超过400字，详细、准确，可以辅助图、表，保护患者隐私，注意信息的时效性和完整性。</w:t>
            </w:r>
          </w:p>
        </w:tc>
      </w:tr>
      <w:tr w14:paraId="0354CB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6" w:hRule="atLeast"/>
        </w:trPr>
        <w:tc>
          <w:tcPr>
            <w:tcW w:w="1129" w:type="dxa"/>
            <w:vAlign w:val="center"/>
          </w:tcPr>
          <w:p w14:paraId="2313FE10">
            <w:pPr>
              <w:contextualSpacing/>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 xml:space="preserve">1.2 </w:t>
            </w:r>
          </w:p>
          <w:p w14:paraId="1E2F1FC3">
            <w:pPr>
              <w:contextualSpacing/>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体格检查</w:t>
            </w:r>
          </w:p>
        </w:tc>
        <w:tc>
          <w:tcPr>
            <w:tcW w:w="4962" w:type="dxa"/>
          </w:tcPr>
          <w:p w14:paraId="22DB4898">
            <w:pPr>
              <w:contextualSpacing/>
              <w:rPr>
                <w:rFonts w:asciiTheme="minorEastAsia" w:hAnsiTheme="minorEastAsia" w:cstheme="minorEastAsia"/>
                <w:sz w:val="18"/>
                <w:szCs w:val="18"/>
              </w:rPr>
            </w:pPr>
            <w:r>
              <w:rPr>
                <w:rFonts w:hint="eastAsia" w:asciiTheme="minorEastAsia" w:hAnsiTheme="minorEastAsia" w:cstheme="minorEastAsia"/>
                <w:sz w:val="18"/>
                <w:szCs w:val="18"/>
              </w:rPr>
              <w:t>□描述患者的体格检查发现</w:t>
            </w:r>
          </w:p>
          <w:p w14:paraId="11626BE2">
            <w:pPr>
              <w:contextualSpacing/>
              <w:rPr>
                <w:rFonts w:asciiTheme="minorEastAsia" w:hAnsiTheme="minorEastAsia" w:cstheme="minorEastAsia"/>
                <w:sz w:val="18"/>
                <w:szCs w:val="18"/>
              </w:rPr>
            </w:pPr>
            <w:r>
              <w:rPr>
                <w:rFonts w:hint="eastAsia" w:asciiTheme="minorEastAsia" w:hAnsiTheme="minorEastAsia" w:cstheme="minorEastAsia"/>
                <w:sz w:val="18"/>
                <w:szCs w:val="18"/>
              </w:rPr>
              <w:t>□西医表述（视、触、叩、听）</w:t>
            </w:r>
          </w:p>
          <w:p w14:paraId="6BBCF4F3">
            <w:pPr>
              <w:contextualSpacing/>
              <w:rPr>
                <w:rFonts w:asciiTheme="minorEastAsia" w:hAnsiTheme="minorEastAsia" w:cstheme="minorEastAsia"/>
                <w:sz w:val="18"/>
                <w:szCs w:val="18"/>
              </w:rPr>
            </w:pPr>
            <w:r>
              <w:rPr>
                <w:rFonts w:hint="eastAsia" w:asciiTheme="minorEastAsia" w:hAnsiTheme="minorEastAsia" w:cstheme="minorEastAsia"/>
                <w:sz w:val="18"/>
                <w:szCs w:val="18"/>
              </w:rPr>
              <w:t>□中医表述（望、闻、切）（中医专业填写）</w:t>
            </w:r>
          </w:p>
        </w:tc>
        <w:tc>
          <w:tcPr>
            <w:tcW w:w="4252" w:type="dxa"/>
          </w:tcPr>
          <w:p w14:paraId="6E038168">
            <w:pPr>
              <w:contextualSpacing/>
              <w:jc w:val="left"/>
              <w:rPr>
                <w:rFonts w:asciiTheme="minorEastAsia" w:hAnsiTheme="minorEastAsia" w:cstheme="minorEastAsia"/>
                <w:sz w:val="18"/>
                <w:szCs w:val="18"/>
              </w:rPr>
            </w:pPr>
            <w:r>
              <w:rPr>
                <w:rFonts w:hint="eastAsia" w:asciiTheme="minorEastAsia" w:hAnsiTheme="minorEastAsia" w:cstheme="minorEastAsia"/>
                <w:sz w:val="18"/>
                <w:szCs w:val="18"/>
              </w:rPr>
              <w:t>必填，不超过200字，阳性发现和重要的阴性体征。</w:t>
            </w:r>
          </w:p>
        </w:tc>
      </w:tr>
      <w:tr w14:paraId="69820E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6" w:hRule="atLeast"/>
        </w:trPr>
        <w:tc>
          <w:tcPr>
            <w:tcW w:w="1129" w:type="dxa"/>
            <w:vAlign w:val="center"/>
          </w:tcPr>
          <w:p w14:paraId="346621B4">
            <w:pPr>
              <w:contextualSpacing/>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1</w:t>
            </w:r>
            <w:r>
              <w:rPr>
                <w:rFonts w:asciiTheme="minorEastAsia" w:hAnsiTheme="minorEastAsia" w:cstheme="minorEastAsia"/>
                <w:b/>
                <w:bCs/>
                <w:sz w:val="18"/>
                <w:szCs w:val="18"/>
              </w:rPr>
              <w:t>.3</w:t>
            </w:r>
          </w:p>
          <w:p w14:paraId="2BC2F43C">
            <w:pPr>
              <w:contextualSpacing/>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辅助检查</w:t>
            </w:r>
          </w:p>
        </w:tc>
        <w:tc>
          <w:tcPr>
            <w:tcW w:w="4962" w:type="dxa"/>
          </w:tcPr>
          <w:p w14:paraId="0F841F1D">
            <w:pPr>
              <w:contextualSpacing/>
              <w:rPr>
                <w:rFonts w:asciiTheme="minorEastAsia" w:hAnsiTheme="minorEastAsia" w:cstheme="minorEastAsia"/>
                <w:sz w:val="18"/>
                <w:szCs w:val="18"/>
              </w:rPr>
            </w:pPr>
            <w:r>
              <w:rPr>
                <w:rFonts w:hint="eastAsia" w:asciiTheme="minorEastAsia" w:hAnsiTheme="minorEastAsia" w:cstheme="minorEastAsia"/>
                <w:sz w:val="18"/>
                <w:szCs w:val="18"/>
              </w:rPr>
              <w:t>□实验室检查、影像学检查等结果</w:t>
            </w:r>
          </w:p>
          <w:p w14:paraId="50AA5947">
            <w:pPr>
              <w:contextualSpacing/>
              <w:rPr>
                <w:rFonts w:asciiTheme="minorEastAsia" w:hAnsiTheme="minorEastAsia" w:cstheme="minorEastAsia"/>
                <w:sz w:val="18"/>
                <w:szCs w:val="18"/>
              </w:rPr>
            </w:pPr>
          </w:p>
        </w:tc>
        <w:tc>
          <w:tcPr>
            <w:tcW w:w="4252" w:type="dxa"/>
          </w:tcPr>
          <w:p w14:paraId="406F1691">
            <w:pPr>
              <w:contextualSpacing/>
              <w:jc w:val="left"/>
              <w:rPr>
                <w:rFonts w:asciiTheme="minorEastAsia" w:hAnsiTheme="minorEastAsia" w:cstheme="minorEastAsia"/>
                <w:sz w:val="18"/>
                <w:szCs w:val="18"/>
              </w:rPr>
            </w:pPr>
            <w:r>
              <w:rPr>
                <w:rFonts w:hint="eastAsia" w:asciiTheme="minorEastAsia" w:hAnsiTheme="minorEastAsia" w:cstheme="minorEastAsia"/>
                <w:sz w:val="18"/>
                <w:szCs w:val="18"/>
              </w:rPr>
              <w:t>必填，不超过3</w:t>
            </w:r>
            <w:r>
              <w:rPr>
                <w:rFonts w:asciiTheme="minorEastAsia" w:hAnsiTheme="minorEastAsia" w:cstheme="minorEastAsia"/>
                <w:sz w:val="18"/>
                <w:szCs w:val="18"/>
              </w:rPr>
              <w:t>00</w:t>
            </w:r>
            <w:r>
              <w:rPr>
                <w:rFonts w:hint="eastAsia" w:asciiTheme="minorEastAsia" w:hAnsiTheme="minorEastAsia" w:cstheme="minorEastAsia"/>
                <w:sz w:val="18"/>
                <w:szCs w:val="18"/>
              </w:rPr>
              <w:t>字，重要阳性和阴性辅助检查结果。</w:t>
            </w:r>
          </w:p>
        </w:tc>
      </w:tr>
      <w:tr w14:paraId="202ECE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2" w:hRule="atLeast"/>
        </w:trPr>
        <w:tc>
          <w:tcPr>
            <w:tcW w:w="1129" w:type="dxa"/>
            <w:vAlign w:val="center"/>
          </w:tcPr>
          <w:p w14:paraId="3808483A">
            <w:pPr>
              <w:contextualSpacing/>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1.</w:t>
            </w:r>
            <w:r>
              <w:rPr>
                <w:rFonts w:asciiTheme="minorEastAsia" w:hAnsiTheme="minorEastAsia" w:cstheme="minorEastAsia"/>
                <w:b/>
                <w:bCs/>
                <w:sz w:val="18"/>
                <w:szCs w:val="18"/>
              </w:rPr>
              <w:t>4</w:t>
            </w:r>
            <w:r>
              <w:rPr>
                <w:rFonts w:hint="eastAsia" w:asciiTheme="minorEastAsia" w:hAnsiTheme="minorEastAsia" w:cstheme="minorEastAsia"/>
                <w:b/>
                <w:bCs/>
                <w:sz w:val="18"/>
                <w:szCs w:val="18"/>
              </w:rPr>
              <w:t xml:space="preserve"> </w:t>
            </w:r>
          </w:p>
          <w:p w14:paraId="59BB792E">
            <w:pPr>
              <w:contextualSpacing/>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诊断及鉴别诊断</w:t>
            </w:r>
          </w:p>
        </w:tc>
        <w:tc>
          <w:tcPr>
            <w:tcW w:w="4962" w:type="dxa"/>
          </w:tcPr>
          <w:p w14:paraId="6872DF26">
            <w:pPr>
              <w:contextualSpacing/>
              <w:rPr>
                <w:rFonts w:asciiTheme="minorEastAsia" w:hAnsiTheme="minorEastAsia" w:cstheme="minorEastAsia"/>
                <w:sz w:val="18"/>
                <w:szCs w:val="18"/>
              </w:rPr>
            </w:pPr>
            <w:r>
              <w:rPr>
                <w:rFonts w:hint="eastAsia" w:asciiTheme="minorEastAsia" w:hAnsiTheme="minorEastAsia" w:cstheme="minorEastAsia"/>
                <w:sz w:val="18"/>
                <w:szCs w:val="18"/>
              </w:rPr>
              <w:t>□诊断依据及方法：包括实验室检查，影像学检查等</w:t>
            </w:r>
          </w:p>
          <w:p w14:paraId="44DE9DA6">
            <w:pPr>
              <w:contextualSpacing/>
              <w:rPr>
                <w:rFonts w:asciiTheme="minorEastAsia" w:hAnsiTheme="minorEastAsia" w:cstheme="minorEastAsia"/>
                <w:sz w:val="18"/>
                <w:szCs w:val="18"/>
              </w:rPr>
            </w:pPr>
            <w:r>
              <w:rPr>
                <w:rFonts w:hint="eastAsia" w:asciiTheme="minorEastAsia" w:hAnsiTheme="minorEastAsia" w:cstheme="minorEastAsia"/>
                <w:sz w:val="18"/>
                <w:szCs w:val="18"/>
              </w:rPr>
              <w:t>□诊断推理：包括鉴别诊断以及其他的诊断</w:t>
            </w:r>
          </w:p>
          <w:p w14:paraId="4B3877A3">
            <w:pPr>
              <w:contextualSpacing/>
              <w:rPr>
                <w:rFonts w:asciiTheme="minorEastAsia" w:hAnsiTheme="minorEastAsia" w:cstheme="minorEastAsia"/>
                <w:sz w:val="18"/>
                <w:szCs w:val="18"/>
              </w:rPr>
            </w:pPr>
            <w:r>
              <w:rPr>
                <w:rFonts w:hint="eastAsia" w:asciiTheme="minorEastAsia" w:hAnsiTheme="minorEastAsia" w:cstheme="minorEastAsia"/>
                <w:sz w:val="18"/>
                <w:szCs w:val="18"/>
              </w:rPr>
              <w:t>□相关预后的判别与特征（如适用）</w:t>
            </w:r>
          </w:p>
          <w:p w14:paraId="24B9F442">
            <w:pPr>
              <w:contextualSpacing/>
              <w:rPr>
                <w:rFonts w:asciiTheme="minorEastAsia" w:hAnsiTheme="minorEastAsia" w:cstheme="minorEastAsia"/>
                <w:sz w:val="18"/>
                <w:szCs w:val="18"/>
              </w:rPr>
            </w:pPr>
            <w:r>
              <w:rPr>
                <w:rFonts w:hint="eastAsia" w:asciiTheme="minorEastAsia" w:hAnsiTheme="minorEastAsia" w:cstheme="minorEastAsia"/>
                <w:sz w:val="18"/>
                <w:szCs w:val="18"/>
              </w:rPr>
              <w:t>□中医病案须包括中医诊断、中医辨证和西医诊断</w:t>
            </w:r>
          </w:p>
        </w:tc>
        <w:tc>
          <w:tcPr>
            <w:tcW w:w="4252" w:type="dxa"/>
          </w:tcPr>
          <w:p w14:paraId="464540E3">
            <w:pPr>
              <w:contextualSpacing/>
              <w:jc w:val="left"/>
              <w:rPr>
                <w:rFonts w:asciiTheme="minorEastAsia" w:hAnsiTheme="minorEastAsia" w:cstheme="minorEastAsia"/>
                <w:sz w:val="18"/>
                <w:szCs w:val="18"/>
              </w:rPr>
            </w:pPr>
            <w:r>
              <w:rPr>
                <w:rFonts w:hint="eastAsia" w:asciiTheme="minorEastAsia" w:hAnsiTheme="minorEastAsia" w:cstheme="minorEastAsia"/>
                <w:sz w:val="18"/>
                <w:szCs w:val="18"/>
              </w:rPr>
              <w:t>必填，不超过400字，详细说明诊断依据和鉴别诊断过程，体现诊断过程中针对难点的解决之道，通过科学性和逻辑性体现诊断技术水平。</w:t>
            </w:r>
          </w:p>
        </w:tc>
      </w:tr>
      <w:tr w14:paraId="303968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2" w:hRule="atLeast"/>
        </w:trPr>
        <w:tc>
          <w:tcPr>
            <w:tcW w:w="1129" w:type="dxa"/>
            <w:vAlign w:val="center"/>
          </w:tcPr>
          <w:p w14:paraId="1A8FFA93">
            <w:pPr>
              <w:contextualSpacing/>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1.</w:t>
            </w:r>
            <w:r>
              <w:rPr>
                <w:rFonts w:asciiTheme="minorEastAsia" w:hAnsiTheme="minorEastAsia" w:cstheme="minorEastAsia"/>
                <w:b/>
                <w:bCs/>
                <w:sz w:val="18"/>
                <w:szCs w:val="18"/>
              </w:rPr>
              <w:t>5</w:t>
            </w:r>
            <w:r>
              <w:rPr>
                <w:rFonts w:hint="eastAsia" w:asciiTheme="minorEastAsia" w:hAnsiTheme="minorEastAsia" w:cstheme="minorEastAsia"/>
                <w:b/>
                <w:bCs/>
                <w:sz w:val="18"/>
                <w:szCs w:val="18"/>
              </w:rPr>
              <w:t xml:space="preserve"> 治疗干预</w:t>
            </w:r>
          </w:p>
        </w:tc>
        <w:tc>
          <w:tcPr>
            <w:tcW w:w="4962" w:type="dxa"/>
          </w:tcPr>
          <w:p w14:paraId="029F0B5E">
            <w:pPr>
              <w:contextualSpacing/>
              <w:rPr>
                <w:rFonts w:asciiTheme="minorEastAsia" w:hAnsiTheme="minorEastAsia" w:cstheme="minorEastAsia"/>
                <w:sz w:val="18"/>
                <w:szCs w:val="18"/>
              </w:rPr>
            </w:pPr>
            <w:r>
              <w:rPr>
                <w:rFonts w:hint="eastAsia" w:asciiTheme="minorEastAsia" w:hAnsiTheme="minorEastAsia" w:cstheme="minorEastAsia"/>
                <w:sz w:val="18"/>
                <w:szCs w:val="18"/>
              </w:rPr>
              <w:t>□干预类型（如：推荐的生活方式、治疗、药物疗法、中医药、手术、操作等干预方式）</w:t>
            </w:r>
          </w:p>
          <w:p w14:paraId="147C287E">
            <w:pPr>
              <w:contextualSpacing/>
              <w:rPr>
                <w:rFonts w:asciiTheme="minorEastAsia" w:hAnsiTheme="minorEastAsia" w:cstheme="minorEastAsia"/>
                <w:sz w:val="18"/>
                <w:szCs w:val="18"/>
              </w:rPr>
            </w:pPr>
            <w:r>
              <w:rPr>
                <w:rFonts w:hint="eastAsia" w:asciiTheme="minorEastAsia" w:hAnsiTheme="minorEastAsia" w:cstheme="minorEastAsia"/>
                <w:sz w:val="18"/>
                <w:szCs w:val="18"/>
              </w:rPr>
              <w:t>□干预管理（如：剂量、强度、持续时间）</w:t>
            </w:r>
          </w:p>
          <w:p w14:paraId="245BC0AF">
            <w:pPr>
              <w:contextualSpacing/>
              <w:rPr>
                <w:rFonts w:asciiTheme="minorEastAsia" w:hAnsiTheme="minorEastAsia" w:cstheme="minorEastAsia"/>
                <w:sz w:val="18"/>
                <w:szCs w:val="18"/>
              </w:rPr>
            </w:pPr>
            <w:r>
              <w:rPr>
                <w:rFonts w:hint="eastAsia" w:asciiTheme="minorEastAsia" w:hAnsiTheme="minorEastAsia" w:cstheme="minorEastAsia"/>
                <w:sz w:val="18"/>
                <w:szCs w:val="18"/>
              </w:rPr>
              <w:t>□记录干预的变化，以及相应的解释说明</w:t>
            </w:r>
          </w:p>
          <w:p w14:paraId="31C66AC4">
            <w:pPr>
              <w:contextualSpacing/>
              <w:rPr>
                <w:rFonts w:asciiTheme="minorEastAsia" w:hAnsiTheme="minorEastAsia" w:cstheme="minorEastAsia"/>
                <w:sz w:val="18"/>
                <w:szCs w:val="18"/>
              </w:rPr>
            </w:pPr>
            <w:r>
              <w:rPr>
                <w:rFonts w:hint="eastAsia" w:asciiTheme="minorEastAsia" w:hAnsiTheme="minorEastAsia" w:cstheme="minorEastAsia"/>
                <w:sz w:val="18"/>
                <w:szCs w:val="18"/>
              </w:rPr>
              <w:t>□其他同时实施的干预</w:t>
            </w:r>
          </w:p>
          <w:p w14:paraId="230A9AE3">
            <w:pPr>
              <w:contextualSpacing/>
              <w:rPr>
                <w:rFonts w:asciiTheme="minorEastAsia" w:hAnsiTheme="minorEastAsia" w:cstheme="minorEastAsia"/>
                <w:sz w:val="18"/>
                <w:szCs w:val="18"/>
              </w:rPr>
            </w:pPr>
          </w:p>
        </w:tc>
        <w:tc>
          <w:tcPr>
            <w:tcW w:w="4252" w:type="dxa"/>
          </w:tcPr>
          <w:p w14:paraId="071BE4B7">
            <w:pPr>
              <w:contextualSpacing/>
              <w:jc w:val="left"/>
              <w:rPr>
                <w:rFonts w:asciiTheme="minorEastAsia" w:hAnsiTheme="minorEastAsia" w:cstheme="minorEastAsia"/>
                <w:sz w:val="18"/>
                <w:szCs w:val="18"/>
              </w:rPr>
            </w:pPr>
            <w:r>
              <w:rPr>
                <w:rFonts w:hint="eastAsia" w:asciiTheme="minorEastAsia" w:hAnsiTheme="minorEastAsia" w:cstheme="minorEastAsia"/>
                <w:sz w:val="18"/>
                <w:szCs w:val="18"/>
              </w:rPr>
              <w:t>必填，不超过400字，变更需说明理由。详细说明治疗的合理性/先进性和有效性，体现诊疗过程中针对难点的解决之道，通过科学性和逻辑性体现治疗技术水平。</w:t>
            </w:r>
          </w:p>
        </w:tc>
      </w:tr>
      <w:tr w14:paraId="2F4763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8" w:hRule="atLeast"/>
        </w:trPr>
        <w:tc>
          <w:tcPr>
            <w:tcW w:w="1129" w:type="dxa"/>
            <w:vAlign w:val="center"/>
          </w:tcPr>
          <w:p w14:paraId="1CE0A8A8">
            <w:pPr>
              <w:contextualSpacing/>
              <w:rPr>
                <w:rFonts w:asciiTheme="minorEastAsia" w:hAnsiTheme="minorEastAsia" w:cstheme="minorEastAsia"/>
                <w:b/>
                <w:bCs/>
                <w:sz w:val="18"/>
                <w:szCs w:val="18"/>
              </w:rPr>
            </w:pPr>
            <w:r>
              <w:rPr>
                <w:rFonts w:hint="eastAsia" w:asciiTheme="minorEastAsia" w:hAnsiTheme="minorEastAsia" w:cstheme="minorEastAsia"/>
                <w:b/>
                <w:bCs/>
                <w:sz w:val="18"/>
                <w:szCs w:val="18"/>
              </w:rPr>
              <w:t>1.</w:t>
            </w:r>
            <w:r>
              <w:rPr>
                <w:rFonts w:asciiTheme="minorEastAsia" w:hAnsiTheme="minorEastAsia" w:cstheme="minorEastAsia"/>
                <w:b/>
                <w:bCs/>
                <w:sz w:val="18"/>
                <w:szCs w:val="18"/>
              </w:rPr>
              <w:t>6</w:t>
            </w:r>
            <w:r>
              <w:rPr>
                <w:rFonts w:hint="eastAsia" w:asciiTheme="minorEastAsia" w:hAnsiTheme="minorEastAsia" w:cstheme="minorEastAsia"/>
                <w:b/>
                <w:bCs/>
                <w:sz w:val="18"/>
                <w:szCs w:val="18"/>
              </w:rPr>
              <w:t>治疗结果、随访及转归</w:t>
            </w:r>
          </w:p>
        </w:tc>
        <w:tc>
          <w:tcPr>
            <w:tcW w:w="4962" w:type="dxa"/>
          </w:tcPr>
          <w:p w14:paraId="451D4A51">
            <w:pPr>
              <w:contextualSpacing/>
              <w:rPr>
                <w:rFonts w:asciiTheme="minorEastAsia" w:hAnsiTheme="minorEastAsia" w:cstheme="minorEastAsia"/>
                <w:sz w:val="18"/>
                <w:szCs w:val="18"/>
              </w:rPr>
            </w:pPr>
            <w:r>
              <w:rPr>
                <w:rFonts w:hint="eastAsia" w:asciiTheme="minorEastAsia" w:hAnsiTheme="minorEastAsia" w:cstheme="minorEastAsia"/>
                <w:sz w:val="18"/>
                <w:szCs w:val="18"/>
              </w:rPr>
              <w:t>□随访时间</w:t>
            </w:r>
          </w:p>
          <w:p w14:paraId="4724E1F2">
            <w:pPr>
              <w:contextualSpacing/>
              <w:rPr>
                <w:rFonts w:asciiTheme="minorEastAsia" w:hAnsiTheme="minorEastAsia" w:cstheme="minorEastAsia"/>
                <w:sz w:val="18"/>
                <w:szCs w:val="18"/>
              </w:rPr>
            </w:pPr>
            <w:r>
              <w:rPr>
                <w:rFonts w:hint="eastAsia" w:asciiTheme="minorEastAsia" w:hAnsiTheme="minorEastAsia" w:cstheme="minorEastAsia"/>
                <w:sz w:val="18"/>
                <w:szCs w:val="18"/>
              </w:rPr>
              <w:t>□不良反应和意外事件</w:t>
            </w:r>
          </w:p>
          <w:p w14:paraId="3EFE3AAD">
            <w:pPr>
              <w:contextualSpacing/>
              <w:rPr>
                <w:rFonts w:asciiTheme="minorEastAsia" w:hAnsiTheme="minorEastAsia" w:cstheme="minorEastAsia"/>
                <w:sz w:val="18"/>
                <w:szCs w:val="18"/>
              </w:rPr>
            </w:pPr>
            <w:r>
              <w:rPr>
                <w:rFonts w:hint="eastAsia" w:asciiTheme="minorEastAsia" w:hAnsiTheme="minorEastAsia" w:cstheme="minorEastAsia"/>
                <w:sz w:val="18"/>
                <w:szCs w:val="18"/>
              </w:rPr>
              <w:t>□重要的随访结果、化验检查数据等</w:t>
            </w:r>
          </w:p>
          <w:p w14:paraId="6A6205AB">
            <w:pPr>
              <w:contextualSpacing/>
              <w:rPr>
                <w:rFonts w:asciiTheme="minorEastAsia" w:hAnsiTheme="minorEastAsia" w:cstheme="minorEastAsia"/>
                <w:sz w:val="18"/>
                <w:szCs w:val="18"/>
              </w:rPr>
            </w:pPr>
            <w:r>
              <w:rPr>
                <w:rFonts w:hint="eastAsia" w:asciiTheme="minorEastAsia" w:hAnsiTheme="minorEastAsia" w:cstheme="minorEastAsia"/>
                <w:sz w:val="18"/>
                <w:szCs w:val="18"/>
              </w:rPr>
              <w:t>□患者转归</w:t>
            </w:r>
          </w:p>
          <w:p w14:paraId="4E58CE8F">
            <w:pPr>
              <w:contextualSpacing/>
              <w:rPr>
                <w:rFonts w:asciiTheme="minorEastAsia" w:hAnsiTheme="minorEastAsia" w:cstheme="minorEastAsia"/>
                <w:sz w:val="18"/>
                <w:szCs w:val="18"/>
              </w:rPr>
            </w:pPr>
          </w:p>
        </w:tc>
        <w:tc>
          <w:tcPr>
            <w:tcW w:w="4252" w:type="dxa"/>
          </w:tcPr>
          <w:p w14:paraId="569D20F3">
            <w:pPr>
              <w:ind w:right="-4"/>
              <w:contextualSpacing/>
              <w:jc w:val="left"/>
              <w:rPr>
                <w:rFonts w:asciiTheme="minorEastAsia" w:hAnsiTheme="minorEastAsia" w:cstheme="minorEastAsia"/>
                <w:sz w:val="18"/>
                <w:szCs w:val="18"/>
              </w:rPr>
            </w:pPr>
            <w:r>
              <w:rPr>
                <w:rFonts w:hint="eastAsia" w:asciiTheme="minorEastAsia" w:hAnsiTheme="minorEastAsia" w:cstheme="minorEastAsia"/>
                <w:sz w:val="18"/>
                <w:szCs w:val="18"/>
              </w:rPr>
              <w:t>必填，不超过300字，可以图表辅助。清晰说明治疗结果和患者后续情况，提供长期观察数据。</w:t>
            </w:r>
          </w:p>
        </w:tc>
      </w:tr>
      <w:tr w14:paraId="7C0D05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2" w:hRule="atLeast"/>
        </w:trPr>
        <w:tc>
          <w:tcPr>
            <w:tcW w:w="10343" w:type="dxa"/>
            <w:gridSpan w:val="3"/>
            <w:vAlign w:val="center"/>
          </w:tcPr>
          <w:p w14:paraId="35742B98">
            <w:pPr>
              <w:ind w:right="-4"/>
              <w:contextualSpacing/>
              <w:jc w:val="center"/>
              <w:rPr>
                <w:rFonts w:asciiTheme="minorEastAsia" w:hAnsiTheme="minorEastAsia" w:cstheme="minorEastAsia"/>
                <w:b/>
                <w:sz w:val="18"/>
                <w:szCs w:val="18"/>
              </w:rPr>
            </w:pPr>
            <w:r>
              <w:rPr>
                <w:rFonts w:hint="eastAsia" w:asciiTheme="minorEastAsia" w:hAnsiTheme="minorEastAsia" w:cstheme="minorEastAsia"/>
                <w:b/>
                <w:sz w:val="18"/>
                <w:szCs w:val="18"/>
              </w:rPr>
              <w:t>2</w:t>
            </w:r>
            <w:r>
              <w:rPr>
                <w:rFonts w:asciiTheme="minorEastAsia" w:hAnsiTheme="minorEastAsia" w:cstheme="minorEastAsia"/>
                <w:b/>
                <w:sz w:val="18"/>
                <w:szCs w:val="18"/>
              </w:rPr>
              <w:t>.</w:t>
            </w:r>
            <w:r>
              <w:rPr>
                <w:rFonts w:hint="eastAsia" w:asciiTheme="minorEastAsia" w:hAnsiTheme="minorEastAsia" w:cstheme="minorEastAsia"/>
                <w:b/>
                <w:sz w:val="18"/>
                <w:szCs w:val="18"/>
              </w:rPr>
              <w:t>讨论</w:t>
            </w:r>
          </w:p>
        </w:tc>
      </w:tr>
      <w:tr w14:paraId="388885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8" w:hRule="atLeast"/>
        </w:trPr>
        <w:tc>
          <w:tcPr>
            <w:tcW w:w="1129" w:type="dxa"/>
            <w:vAlign w:val="center"/>
          </w:tcPr>
          <w:p w14:paraId="5AAE21A0">
            <w:pPr>
              <w:contextualSpacing/>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2.1讨论</w:t>
            </w:r>
          </w:p>
        </w:tc>
        <w:tc>
          <w:tcPr>
            <w:tcW w:w="4962" w:type="dxa"/>
          </w:tcPr>
          <w:p w14:paraId="1D99838E">
            <w:pPr>
              <w:contextualSpacing/>
              <w:rPr>
                <w:rFonts w:asciiTheme="minorEastAsia" w:hAnsiTheme="minorEastAsia" w:cstheme="minorEastAsia"/>
                <w:sz w:val="18"/>
                <w:szCs w:val="18"/>
              </w:rPr>
            </w:pPr>
            <w:r>
              <w:rPr>
                <w:rFonts w:hint="eastAsia" w:asciiTheme="minorEastAsia" w:hAnsiTheme="minorEastAsia" w:cstheme="minorEastAsia"/>
                <w:sz w:val="18"/>
                <w:szCs w:val="18"/>
              </w:rPr>
              <w:t>□本病例相关的背景、理论、标准、指南、现状与进展的描述，突出重点</w:t>
            </w:r>
          </w:p>
          <w:p w14:paraId="42474E25">
            <w:pPr>
              <w:contextualSpacing/>
              <w:rPr>
                <w:rFonts w:asciiTheme="minorEastAsia" w:hAnsiTheme="minorEastAsia" w:cstheme="minorEastAsia"/>
                <w:sz w:val="18"/>
                <w:szCs w:val="18"/>
              </w:rPr>
            </w:pPr>
            <w:r>
              <w:rPr>
                <w:rFonts w:hint="eastAsia" w:asciiTheme="minorEastAsia" w:hAnsiTheme="minorEastAsia" w:cstheme="minorEastAsia"/>
                <w:sz w:val="18"/>
                <w:szCs w:val="18"/>
              </w:rPr>
              <w:t>□本病例的优势和局限性</w:t>
            </w:r>
          </w:p>
          <w:p w14:paraId="04A3C835">
            <w:pPr>
              <w:contextualSpacing/>
              <w:rPr>
                <w:rFonts w:asciiTheme="minorEastAsia" w:hAnsiTheme="minorEastAsia" w:cstheme="minorEastAsia"/>
                <w:sz w:val="18"/>
                <w:szCs w:val="18"/>
              </w:rPr>
            </w:pPr>
            <w:r>
              <w:rPr>
                <w:rFonts w:hint="eastAsia" w:asciiTheme="minorEastAsia" w:hAnsiTheme="minorEastAsia" w:cstheme="minorEastAsia"/>
                <w:sz w:val="18"/>
                <w:szCs w:val="18"/>
              </w:rPr>
              <w:t>□对照类似已发表的案例相关文献，找出差异点进行讨论</w:t>
            </w:r>
          </w:p>
          <w:p w14:paraId="2D33CE4A">
            <w:pPr>
              <w:contextualSpacing/>
              <w:rPr>
                <w:rFonts w:asciiTheme="minorEastAsia" w:hAnsiTheme="minorEastAsia" w:cstheme="minorEastAsia"/>
                <w:sz w:val="18"/>
                <w:szCs w:val="18"/>
              </w:rPr>
            </w:pPr>
            <w:r>
              <w:rPr>
                <w:rFonts w:hint="eastAsia" w:asciiTheme="minorEastAsia" w:hAnsiTheme="minorEastAsia" w:cstheme="minorEastAsia"/>
                <w:sz w:val="18"/>
                <w:szCs w:val="18"/>
              </w:rPr>
              <w:t>□本病例报告的价值所在，诊疗中的疑难之处及解决办法和具体过程，其作用和价值</w:t>
            </w:r>
          </w:p>
          <w:p w14:paraId="19A0962D">
            <w:pPr>
              <w:contextualSpacing/>
              <w:rPr>
                <w:rFonts w:asciiTheme="minorEastAsia" w:hAnsiTheme="minorEastAsia" w:cstheme="minorEastAsia"/>
                <w:sz w:val="18"/>
                <w:szCs w:val="18"/>
              </w:rPr>
            </w:pPr>
            <w:r>
              <w:rPr>
                <w:rFonts w:hint="eastAsia" w:asciiTheme="minorEastAsia" w:hAnsiTheme="minorEastAsia" w:cstheme="minorEastAsia"/>
                <w:sz w:val="18"/>
                <w:szCs w:val="18"/>
              </w:rPr>
              <w:t>□结论</w:t>
            </w:r>
          </w:p>
          <w:p w14:paraId="56B220AC">
            <w:pPr>
              <w:contextualSpacing/>
              <w:rPr>
                <w:rFonts w:asciiTheme="minorEastAsia" w:hAnsiTheme="minorEastAsia" w:cstheme="minorEastAsia"/>
                <w:sz w:val="18"/>
                <w:szCs w:val="18"/>
              </w:rPr>
            </w:pPr>
            <w:r>
              <w:rPr>
                <w:rFonts w:hint="eastAsia" w:asciiTheme="minorEastAsia" w:hAnsiTheme="minorEastAsia" w:cstheme="minorEastAsia"/>
                <w:sz w:val="18"/>
                <w:szCs w:val="18"/>
              </w:rPr>
              <w:t>□一些可能的发展和应用，如长期随访或新的研究课题</w:t>
            </w:r>
          </w:p>
        </w:tc>
        <w:tc>
          <w:tcPr>
            <w:tcW w:w="4252" w:type="dxa"/>
          </w:tcPr>
          <w:p w14:paraId="067DE9CD">
            <w:pPr>
              <w:contextualSpacing/>
              <w:jc w:val="left"/>
              <w:rPr>
                <w:rFonts w:asciiTheme="minorEastAsia" w:hAnsiTheme="minorEastAsia" w:cstheme="minorEastAsia"/>
                <w:sz w:val="18"/>
                <w:szCs w:val="18"/>
              </w:rPr>
            </w:pPr>
            <w:r>
              <w:rPr>
                <w:rFonts w:hint="eastAsia" w:asciiTheme="minorEastAsia" w:hAnsiTheme="minorEastAsia" w:cstheme="minorEastAsia"/>
                <w:sz w:val="18"/>
                <w:szCs w:val="18"/>
              </w:rPr>
              <w:t>必填，实质性讨论，避免重复，</w:t>
            </w:r>
            <w:r>
              <w:rPr>
                <w:rFonts w:hint="eastAsia" w:asciiTheme="minorEastAsia" w:hAnsiTheme="minorEastAsia" w:cstheme="minorEastAsia"/>
                <w:sz w:val="18"/>
                <w:szCs w:val="18"/>
                <w:lang w:val="en-US" w:eastAsia="zh-CN"/>
              </w:rPr>
              <w:t>突出病例的难点、创新点，</w:t>
            </w:r>
            <w:r>
              <w:rPr>
                <w:rFonts w:hint="eastAsia" w:asciiTheme="minorEastAsia" w:hAnsiTheme="minorEastAsia" w:cstheme="minorEastAsia"/>
                <w:sz w:val="18"/>
                <w:szCs w:val="18"/>
              </w:rPr>
              <w:t>提供深入分析和前瞻性观点。</w:t>
            </w:r>
          </w:p>
        </w:tc>
      </w:tr>
      <w:tr w14:paraId="66DED7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0" w:hRule="atLeast"/>
        </w:trPr>
        <w:tc>
          <w:tcPr>
            <w:tcW w:w="1129" w:type="dxa"/>
            <w:vAlign w:val="center"/>
          </w:tcPr>
          <w:p w14:paraId="2EE936EB">
            <w:pPr>
              <w:contextualSpacing/>
              <w:rPr>
                <w:rFonts w:asciiTheme="minorEastAsia" w:hAnsiTheme="minorEastAsia" w:cstheme="minorEastAsia"/>
                <w:b/>
                <w:bCs/>
                <w:sz w:val="18"/>
                <w:szCs w:val="18"/>
              </w:rPr>
            </w:pPr>
            <w:r>
              <w:rPr>
                <w:rFonts w:hint="eastAsia" w:asciiTheme="minorEastAsia" w:hAnsiTheme="minorEastAsia" w:cstheme="minorEastAsia"/>
                <w:b/>
                <w:bCs/>
                <w:sz w:val="18"/>
                <w:szCs w:val="18"/>
              </w:rPr>
              <w:t>2.2参考文献</w:t>
            </w:r>
          </w:p>
        </w:tc>
        <w:tc>
          <w:tcPr>
            <w:tcW w:w="4962" w:type="dxa"/>
          </w:tcPr>
          <w:p w14:paraId="249560CB">
            <w:pPr>
              <w:contextualSpacing/>
              <w:rPr>
                <w:rFonts w:asciiTheme="minorEastAsia" w:hAnsiTheme="minorEastAsia" w:cstheme="minorEastAsia"/>
                <w:sz w:val="18"/>
                <w:szCs w:val="18"/>
              </w:rPr>
            </w:pPr>
            <w:r>
              <w:rPr>
                <w:rFonts w:hint="eastAsia" w:asciiTheme="minorEastAsia" w:hAnsiTheme="minorEastAsia" w:cstheme="minorEastAsia"/>
                <w:sz w:val="18"/>
                <w:szCs w:val="18"/>
              </w:rPr>
              <w:t>□观点和来源标注参考文献，可包括著作、教材、指南、专家共识及国医大师、学术继承指导老师经验等</w:t>
            </w:r>
          </w:p>
          <w:p w14:paraId="53D6090F">
            <w:pPr>
              <w:contextualSpacing/>
              <w:rPr>
                <w:rFonts w:asciiTheme="minorEastAsia" w:hAnsiTheme="minorEastAsia" w:cstheme="minorEastAsia"/>
                <w:sz w:val="18"/>
                <w:szCs w:val="18"/>
              </w:rPr>
            </w:pPr>
            <w:r>
              <w:rPr>
                <w:rFonts w:hint="eastAsia" w:asciiTheme="minorEastAsia" w:hAnsiTheme="minorEastAsia" w:cstheme="minorEastAsia"/>
                <w:sz w:val="18"/>
                <w:szCs w:val="18"/>
              </w:rPr>
              <w:t>□按照GB/T 7714-2015规范</w:t>
            </w:r>
          </w:p>
        </w:tc>
        <w:tc>
          <w:tcPr>
            <w:tcW w:w="4252" w:type="dxa"/>
          </w:tcPr>
          <w:p w14:paraId="595FA198">
            <w:pPr>
              <w:contextualSpacing/>
              <w:jc w:val="left"/>
              <w:rPr>
                <w:rFonts w:asciiTheme="minorEastAsia" w:hAnsiTheme="minorEastAsia" w:cstheme="minorEastAsia"/>
                <w:sz w:val="18"/>
                <w:szCs w:val="18"/>
              </w:rPr>
            </w:pPr>
            <w:r>
              <w:rPr>
                <w:rFonts w:hint="eastAsia" w:asciiTheme="minorEastAsia" w:hAnsiTheme="minorEastAsia" w:cstheme="minorEastAsia"/>
                <w:sz w:val="18"/>
                <w:szCs w:val="18"/>
              </w:rPr>
              <w:t>选填，准确引用，体现研究的学术性和权威性。</w:t>
            </w:r>
          </w:p>
        </w:tc>
      </w:tr>
      <w:tr w14:paraId="1A059E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4" w:hRule="atLeast"/>
        </w:trPr>
        <w:tc>
          <w:tcPr>
            <w:tcW w:w="10343" w:type="dxa"/>
            <w:gridSpan w:val="3"/>
            <w:vAlign w:val="center"/>
          </w:tcPr>
          <w:p w14:paraId="7508F227">
            <w:pPr>
              <w:contextualSpacing/>
              <w:jc w:val="center"/>
              <w:rPr>
                <w:rFonts w:asciiTheme="minorEastAsia" w:hAnsiTheme="minorEastAsia" w:cstheme="minorEastAsia"/>
                <w:b/>
                <w:sz w:val="18"/>
                <w:szCs w:val="18"/>
              </w:rPr>
            </w:pPr>
            <w:r>
              <w:rPr>
                <w:rFonts w:hint="eastAsia" w:asciiTheme="minorEastAsia" w:hAnsiTheme="minorEastAsia" w:cstheme="minorEastAsia"/>
                <w:b/>
                <w:sz w:val="18"/>
                <w:szCs w:val="18"/>
              </w:rPr>
              <w:t>3</w:t>
            </w:r>
            <w:r>
              <w:rPr>
                <w:rFonts w:asciiTheme="minorEastAsia" w:hAnsiTheme="minorEastAsia" w:cstheme="minorEastAsia"/>
                <w:b/>
                <w:sz w:val="18"/>
                <w:szCs w:val="18"/>
              </w:rPr>
              <w:t>.</w:t>
            </w:r>
            <w:r>
              <w:rPr>
                <w:rFonts w:hint="eastAsia" w:asciiTheme="minorEastAsia" w:hAnsiTheme="minorEastAsia" w:cstheme="minorEastAsia"/>
                <w:b/>
                <w:sz w:val="18"/>
                <w:szCs w:val="18"/>
              </w:rPr>
              <w:t>附加材料</w:t>
            </w:r>
          </w:p>
        </w:tc>
      </w:tr>
      <w:tr w14:paraId="31C2AF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6" w:hRule="atLeast"/>
        </w:trPr>
        <w:tc>
          <w:tcPr>
            <w:tcW w:w="1129" w:type="dxa"/>
            <w:vAlign w:val="center"/>
          </w:tcPr>
          <w:p w14:paraId="6B0DACBF">
            <w:pPr>
              <w:contextualSpacing/>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3附加材料</w:t>
            </w:r>
          </w:p>
        </w:tc>
        <w:tc>
          <w:tcPr>
            <w:tcW w:w="4962" w:type="dxa"/>
          </w:tcPr>
          <w:p w14:paraId="3CC02601">
            <w:pPr>
              <w:pStyle w:val="7"/>
              <w:widowControl/>
              <w:shd w:val="clear" w:color="auto" w:fill="FFFFFF"/>
              <w:spacing w:beforeAutospacing="0" w:afterAutospacing="0"/>
              <w:contextualSpacing/>
              <w:rPr>
                <w:rFonts w:asciiTheme="minorEastAsia" w:hAnsiTheme="minorEastAsia" w:cstheme="minorEastAsia"/>
                <w:kern w:val="2"/>
                <w:sz w:val="18"/>
                <w:szCs w:val="18"/>
              </w:rPr>
            </w:pPr>
            <w:r>
              <w:rPr>
                <w:rFonts w:hint="eastAsia" w:asciiTheme="minorEastAsia" w:hAnsiTheme="minorEastAsia" w:cstheme="minorEastAsia"/>
                <w:sz w:val="18"/>
                <w:szCs w:val="18"/>
              </w:rPr>
              <w:t>□</w:t>
            </w:r>
            <w:r>
              <w:rPr>
                <w:rFonts w:hint="eastAsia" w:asciiTheme="minorEastAsia" w:hAnsiTheme="minorEastAsia" w:cstheme="minorEastAsia"/>
                <w:kern w:val="2"/>
                <w:sz w:val="18"/>
                <w:szCs w:val="18"/>
              </w:rPr>
              <w:t>病案首页/门诊病历</w:t>
            </w:r>
          </w:p>
          <w:p w14:paraId="3E6C9C39">
            <w:pPr>
              <w:pStyle w:val="7"/>
              <w:widowControl/>
              <w:shd w:val="clear" w:color="auto" w:fill="FFFFFF"/>
              <w:spacing w:beforeAutospacing="0" w:afterAutospacing="0"/>
              <w:contextualSpacing/>
              <w:rPr>
                <w:rFonts w:asciiTheme="minorEastAsia" w:hAnsiTheme="minorEastAsia" w:cstheme="minorEastAsia"/>
                <w:kern w:val="2"/>
                <w:sz w:val="18"/>
                <w:szCs w:val="18"/>
              </w:rPr>
            </w:pPr>
            <w:r>
              <w:rPr>
                <w:rFonts w:hint="eastAsia" w:asciiTheme="minorEastAsia" w:hAnsiTheme="minorEastAsia" w:cstheme="minorEastAsia"/>
                <w:sz w:val="18"/>
                <w:szCs w:val="18"/>
              </w:rPr>
              <w:t>□</w:t>
            </w:r>
            <w:r>
              <w:rPr>
                <w:rFonts w:hint="eastAsia" w:asciiTheme="minorEastAsia" w:hAnsiTheme="minorEastAsia" w:cstheme="minorEastAsia"/>
                <w:kern w:val="2"/>
                <w:sz w:val="18"/>
                <w:szCs w:val="18"/>
              </w:rPr>
              <w:t>能够反映申报人贡献的病程记录（如查房意见、病历讨论、会诊记录、手术记录等）</w:t>
            </w:r>
          </w:p>
          <w:p w14:paraId="6246B086">
            <w:pPr>
              <w:pStyle w:val="7"/>
              <w:widowControl/>
              <w:shd w:val="clear" w:color="auto" w:fill="FFFFFF"/>
              <w:spacing w:beforeAutospacing="0" w:afterAutospacing="0"/>
              <w:contextualSpacing/>
              <w:rPr>
                <w:rFonts w:asciiTheme="minorEastAsia" w:hAnsiTheme="minorEastAsia" w:cstheme="minorEastAsia"/>
                <w:sz w:val="18"/>
                <w:szCs w:val="18"/>
              </w:rPr>
            </w:pPr>
            <w:r>
              <w:rPr>
                <w:rFonts w:hint="eastAsia" w:asciiTheme="minorEastAsia" w:hAnsiTheme="minorEastAsia" w:cstheme="minorEastAsia"/>
                <w:sz w:val="18"/>
                <w:szCs w:val="18"/>
              </w:rPr>
              <w:t>□</w:t>
            </w:r>
            <w:r>
              <w:rPr>
                <w:rFonts w:hint="eastAsia" w:asciiTheme="minorEastAsia" w:hAnsiTheme="minorEastAsia" w:cstheme="minorEastAsia"/>
                <w:kern w:val="2"/>
                <w:sz w:val="18"/>
                <w:szCs w:val="18"/>
              </w:rPr>
              <w:t>支持病案报告的检查、报告等</w:t>
            </w:r>
          </w:p>
        </w:tc>
        <w:tc>
          <w:tcPr>
            <w:tcW w:w="4252" w:type="dxa"/>
          </w:tcPr>
          <w:p w14:paraId="6EB387F6">
            <w:pPr>
              <w:contextualSpacing/>
              <w:jc w:val="left"/>
              <w:rPr>
                <w:rFonts w:asciiTheme="minorEastAsia" w:hAnsiTheme="minorEastAsia" w:cstheme="minorEastAsia"/>
                <w:sz w:val="18"/>
                <w:szCs w:val="18"/>
              </w:rPr>
            </w:pPr>
            <w:r>
              <w:rPr>
                <w:rFonts w:hint="eastAsia" w:asciiTheme="minorEastAsia" w:hAnsiTheme="minorEastAsia" w:cstheme="minorEastAsia"/>
                <w:sz w:val="18"/>
                <w:szCs w:val="18"/>
              </w:rPr>
              <w:t>必填，病案资料扫描，注意保护患者隐私。</w:t>
            </w:r>
          </w:p>
        </w:tc>
      </w:tr>
    </w:tbl>
    <w:p w14:paraId="30EA021C">
      <w:pPr>
        <w:contextualSpacing/>
        <w:rPr>
          <w:rFonts w:asciiTheme="minorEastAsia" w:hAnsiTheme="minorEastAsia" w:cstheme="minorEastAsia"/>
          <w:szCs w:val="21"/>
        </w:rPr>
      </w:pPr>
    </w:p>
    <w:p w14:paraId="625B8AEE">
      <w:pPr>
        <w:contextualSpacing/>
        <w:rPr>
          <w:rFonts w:asciiTheme="minorEastAsia" w:hAnsiTheme="minorEastAsia" w:cstheme="minorEastAsia"/>
          <w:szCs w:val="21"/>
        </w:rPr>
      </w:pPr>
    </w:p>
    <w:p w14:paraId="0AA6AA45">
      <w:pPr>
        <w:contextualSpacing/>
        <w:rPr>
          <w:rFonts w:asciiTheme="minorEastAsia" w:hAnsiTheme="minorEastAsia" w:cstheme="minorEastAsia"/>
          <w:szCs w:val="21"/>
        </w:rPr>
      </w:pPr>
    </w:p>
    <w:p w14:paraId="3607C3BD">
      <w:pPr>
        <w:contextualSpacing/>
        <w:rPr>
          <w:rFonts w:asciiTheme="minorEastAsia" w:hAnsiTheme="minorEastAsia" w:cstheme="minorEastAsia"/>
          <w:szCs w:val="21"/>
        </w:rPr>
      </w:pPr>
    </w:p>
    <w:p w14:paraId="70D1739A">
      <w:pPr>
        <w:contextualSpacing/>
        <w:rPr>
          <w:rFonts w:asciiTheme="minorEastAsia" w:hAnsiTheme="minorEastAsia" w:cstheme="minorEastAsia"/>
          <w:szCs w:val="21"/>
        </w:rPr>
      </w:pPr>
    </w:p>
    <w:p w14:paraId="3C40A014">
      <w:pPr>
        <w:contextualSpacing/>
        <w:rPr>
          <w:rFonts w:asciiTheme="minorEastAsia" w:hAnsiTheme="minorEastAsia" w:cstheme="minorEastAsia"/>
          <w:szCs w:val="21"/>
        </w:rPr>
      </w:pPr>
    </w:p>
    <w:p w14:paraId="6E371A60">
      <w:pPr>
        <w:contextualSpacing/>
        <w:rPr>
          <w:rFonts w:asciiTheme="minorEastAsia" w:hAnsiTheme="minorEastAsia" w:cstheme="minorEastAsia"/>
          <w:szCs w:val="21"/>
        </w:rPr>
      </w:pPr>
    </w:p>
    <w:p w14:paraId="089FA6AB">
      <w:pPr>
        <w:contextualSpacing/>
        <w:rPr>
          <w:rFonts w:asciiTheme="minorEastAsia" w:hAnsiTheme="minorEastAsia" w:cstheme="minorEastAsia"/>
          <w:szCs w:val="21"/>
        </w:rPr>
      </w:pPr>
    </w:p>
    <w:p w14:paraId="3542B810">
      <w:pPr>
        <w:contextualSpacing/>
        <w:rPr>
          <w:rFonts w:asciiTheme="minorEastAsia" w:hAnsiTheme="minorEastAsia" w:cstheme="minorEastAsia"/>
          <w:szCs w:val="21"/>
        </w:rPr>
      </w:pPr>
    </w:p>
    <w:p w14:paraId="2F6E1AC7">
      <w:pPr>
        <w:contextualSpacing/>
        <w:rPr>
          <w:rFonts w:asciiTheme="minorEastAsia" w:hAnsiTheme="minorEastAsia" w:cstheme="minorEastAsia"/>
          <w:szCs w:val="21"/>
        </w:rPr>
      </w:pPr>
    </w:p>
    <w:p w14:paraId="139E095C">
      <w:pPr>
        <w:contextualSpacing/>
        <w:rPr>
          <w:rFonts w:asciiTheme="minorEastAsia" w:hAnsiTheme="minorEastAsia" w:cstheme="minorEastAsia"/>
          <w:szCs w:val="21"/>
        </w:rPr>
      </w:pPr>
    </w:p>
    <w:p w14:paraId="7A154E03">
      <w:pPr>
        <w:contextualSpacing/>
        <w:rPr>
          <w:rFonts w:asciiTheme="minorEastAsia" w:hAnsiTheme="minorEastAsia" w:cstheme="minorEastAsia"/>
          <w:szCs w:val="21"/>
        </w:rPr>
      </w:pPr>
    </w:p>
    <w:p w14:paraId="66640A60">
      <w:pPr>
        <w:contextualSpacing/>
        <w:rPr>
          <w:rFonts w:asciiTheme="minorEastAsia" w:hAnsiTheme="minorEastAsia" w:cstheme="minorEastAsia"/>
          <w:szCs w:val="21"/>
        </w:rPr>
      </w:pPr>
    </w:p>
    <w:p w14:paraId="43374F87">
      <w:pPr>
        <w:contextualSpacing/>
        <w:rPr>
          <w:rFonts w:asciiTheme="minorEastAsia" w:hAnsiTheme="minorEastAsia" w:cstheme="minorEastAsia"/>
          <w:szCs w:val="21"/>
        </w:rPr>
      </w:pPr>
    </w:p>
    <w:p w14:paraId="24169AC6">
      <w:pPr>
        <w:contextualSpacing/>
        <w:rPr>
          <w:rFonts w:asciiTheme="minorEastAsia" w:hAnsiTheme="minorEastAsia" w:cstheme="minorEastAsia"/>
          <w:szCs w:val="21"/>
        </w:rPr>
      </w:pPr>
    </w:p>
    <w:p w14:paraId="2BB8799E">
      <w:pPr>
        <w:contextualSpacing/>
        <w:rPr>
          <w:rFonts w:asciiTheme="minorEastAsia" w:hAnsiTheme="minorEastAsia" w:cstheme="minorEastAsia"/>
          <w:szCs w:val="21"/>
        </w:rPr>
      </w:pPr>
    </w:p>
    <w:p w14:paraId="3CAB21A3">
      <w:pPr>
        <w:contextualSpacing/>
        <w:rPr>
          <w:rFonts w:asciiTheme="minorEastAsia" w:hAnsiTheme="minorEastAsia" w:cstheme="minorEastAsia"/>
          <w:szCs w:val="21"/>
        </w:rPr>
      </w:pPr>
    </w:p>
    <w:p w14:paraId="0DD4A955">
      <w:pPr>
        <w:contextualSpacing/>
        <w:rPr>
          <w:rFonts w:asciiTheme="minorEastAsia" w:hAnsiTheme="minorEastAsia" w:cstheme="minorEastAsia"/>
          <w:szCs w:val="21"/>
        </w:rPr>
      </w:pPr>
    </w:p>
    <w:p w14:paraId="4537F679">
      <w:pPr>
        <w:contextualSpacing/>
        <w:rPr>
          <w:rFonts w:asciiTheme="minorEastAsia" w:hAnsiTheme="minorEastAsia" w:cstheme="minorEastAsia"/>
          <w:szCs w:val="21"/>
        </w:rPr>
      </w:pPr>
    </w:p>
    <w:p w14:paraId="03BC958A">
      <w:pPr>
        <w:contextualSpacing/>
        <w:rPr>
          <w:rFonts w:asciiTheme="minorEastAsia" w:hAnsiTheme="minorEastAsia" w:cstheme="minorEastAsia"/>
          <w:szCs w:val="21"/>
        </w:rPr>
      </w:pPr>
    </w:p>
    <w:p w14:paraId="2D77787B">
      <w:pPr>
        <w:contextualSpacing/>
        <w:rPr>
          <w:rFonts w:asciiTheme="minorEastAsia" w:hAnsiTheme="minorEastAsia" w:cstheme="minorEastAsia"/>
          <w:szCs w:val="21"/>
        </w:rPr>
      </w:pPr>
    </w:p>
    <w:p w14:paraId="6B9F5624">
      <w:pPr>
        <w:contextualSpacing/>
        <w:rPr>
          <w:rFonts w:asciiTheme="minorEastAsia" w:hAnsiTheme="minorEastAsia" w:cstheme="minorEastAsia"/>
          <w:szCs w:val="21"/>
        </w:rPr>
      </w:pPr>
    </w:p>
    <w:p w14:paraId="3C676414">
      <w:pPr>
        <w:contextualSpacing/>
        <w:rPr>
          <w:rFonts w:asciiTheme="minorEastAsia" w:hAnsiTheme="minorEastAsia" w:cstheme="minorEastAsia"/>
          <w:szCs w:val="21"/>
        </w:rPr>
      </w:pPr>
    </w:p>
    <w:p w14:paraId="040CE99C">
      <w:pPr>
        <w:spacing w:before="156" w:beforeLines="50" w:line="360" w:lineRule="auto"/>
        <w:contextualSpacing/>
        <w:rPr>
          <w:rFonts w:ascii="黑体" w:hAnsi="黑体" w:cs="Arial"/>
          <w:sz w:val="24"/>
          <w:szCs w:val="32"/>
        </w:rPr>
      </w:pPr>
      <w:bookmarkStart w:id="0" w:name="_Hlk169533344"/>
      <w:bookmarkEnd w:id="0"/>
    </w:p>
    <w:p w14:paraId="4E94842D">
      <w:pPr>
        <w:spacing w:before="156" w:beforeLines="50" w:line="360" w:lineRule="auto"/>
        <w:contextualSpacing/>
        <w:rPr>
          <w:rFonts w:ascii="黑体" w:hAnsi="黑体" w:cs="Arial"/>
          <w:b/>
          <w:sz w:val="24"/>
          <w:szCs w:val="32"/>
        </w:rPr>
      </w:pPr>
      <w:r>
        <w:rPr>
          <w:rFonts w:hint="eastAsia" w:ascii="黑体" w:hAnsi="黑体" w:cs="Arial"/>
          <w:b/>
          <w:sz w:val="24"/>
          <w:szCs w:val="32"/>
        </w:rPr>
        <w:t>样稿</w:t>
      </w:r>
    </w:p>
    <w:p w14:paraId="48BFF1C5">
      <w:pPr>
        <w:spacing w:before="156" w:beforeLines="50" w:line="360" w:lineRule="auto"/>
        <w:contextualSpacing/>
        <w:jc w:val="center"/>
        <w:rPr>
          <w:rFonts w:ascii="黑体" w:hAnsi="黑体" w:eastAsia="方正小标宋简体" w:cs="Arial"/>
          <w:sz w:val="36"/>
          <w:szCs w:val="32"/>
        </w:rPr>
      </w:pPr>
    </w:p>
    <w:p w14:paraId="0EECEFEE">
      <w:pPr>
        <w:spacing w:before="156" w:beforeLines="50" w:line="360" w:lineRule="auto"/>
        <w:contextualSpacing/>
        <w:jc w:val="center"/>
        <w:rPr>
          <w:rFonts w:ascii="黑体" w:hAnsi="黑体" w:eastAsia="方正小标宋简体" w:cs="Arial"/>
          <w:sz w:val="36"/>
          <w:szCs w:val="32"/>
        </w:rPr>
      </w:pPr>
      <w:r>
        <w:rPr>
          <w:rFonts w:hint="eastAsia" w:ascii="黑体" w:hAnsi="黑体" w:eastAsia="方正小标宋简体" w:cs="Arial"/>
          <w:sz w:val="36"/>
          <w:szCs w:val="32"/>
        </w:rPr>
        <w:t>一例青少年发病的Gitalman综合征病案报告</w:t>
      </w:r>
    </w:p>
    <w:p w14:paraId="324D4D99">
      <w:pPr>
        <w:spacing w:before="156" w:beforeLines="50" w:line="360" w:lineRule="auto"/>
        <w:contextualSpacing/>
        <w:rPr>
          <w:rFonts w:ascii="Arial" w:hAnsi="Arial" w:eastAsia="宋体" w:cs="Arial"/>
          <w:sz w:val="24"/>
        </w:rPr>
      </w:pPr>
    </w:p>
    <w:p w14:paraId="0F0BA640">
      <w:pPr>
        <w:spacing w:before="156" w:beforeLines="50" w:line="360" w:lineRule="auto"/>
        <w:contextualSpacing/>
        <w:rPr>
          <w:rFonts w:ascii="Arial" w:hAnsi="Arial" w:cs="Arial"/>
          <w:sz w:val="24"/>
        </w:rPr>
      </w:pPr>
      <w:r>
        <w:rPr>
          <w:rFonts w:ascii="Arial" w:hAnsi="Arial" w:cs="Arial"/>
          <w:b/>
          <w:bCs/>
          <w:sz w:val="24"/>
        </w:rPr>
        <w:t>申报人：</w:t>
      </w:r>
      <w:r>
        <w:rPr>
          <w:rFonts w:ascii="Arial" w:hAnsi="Arial" w:cs="Arial"/>
          <w:sz w:val="24"/>
        </w:rPr>
        <w:t xml:space="preserve"> *</w:t>
      </w:r>
      <w:r>
        <w:rPr>
          <w:rFonts w:hint="eastAsia" w:ascii="Arial" w:hAnsi="Arial" w:cs="Arial"/>
          <w:sz w:val="24"/>
        </w:rPr>
        <w:t>*</w:t>
      </w:r>
      <w:r>
        <w:rPr>
          <w:rFonts w:ascii="Arial" w:hAnsi="Arial" w:cs="Arial"/>
          <w:sz w:val="24"/>
        </w:rPr>
        <w:t>*</w:t>
      </w:r>
    </w:p>
    <w:p w14:paraId="1D881EAF">
      <w:pPr>
        <w:spacing w:before="156" w:beforeLines="50" w:line="360" w:lineRule="auto"/>
        <w:contextualSpacing/>
        <w:rPr>
          <w:rFonts w:ascii="Arial" w:hAnsi="Arial" w:cs="Arial"/>
          <w:sz w:val="24"/>
        </w:rPr>
      </w:pPr>
      <w:r>
        <w:rPr>
          <w:rFonts w:ascii="Arial" w:hAnsi="Arial" w:cs="Arial"/>
          <w:b/>
          <w:bCs/>
          <w:sz w:val="24"/>
        </w:rPr>
        <w:t>单</w:t>
      </w:r>
      <w:r>
        <w:rPr>
          <w:rFonts w:hint="eastAsia" w:ascii="Arial" w:hAnsi="Arial" w:cs="Arial"/>
          <w:b/>
          <w:bCs/>
          <w:sz w:val="24"/>
        </w:rPr>
        <w:t xml:space="preserve"> </w:t>
      </w:r>
      <w:r>
        <w:rPr>
          <w:rFonts w:ascii="Arial" w:hAnsi="Arial" w:cs="Arial"/>
          <w:b/>
          <w:bCs/>
          <w:sz w:val="24"/>
        </w:rPr>
        <w:t xml:space="preserve"> 位：</w:t>
      </w:r>
      <w:r>
        <w:rPr>
          <w:rFonts w:hint="eastAsia" w:ascii="Arial" w:hAnsi="Arial" w:cs="Arial"/>
          <w:b/>
          <w:bCs/>
          <w:sz w:val="24"/>
        </w:rPr>
        <w:t xml:space="preserve"> </w:t>
      </w:r>
      <w:r>
        <w:rPr>
          <w:rFonts w:ascii="Arial" w:hAnsi="Arial" w:cs="Arial"/>
          <w:sz w:val="24"/>
        </w:rPr>
        <w:t>***医院，</w:t>
      </w:r>
      <w:r>
        <w:rPr>
          <w:rFonts w:hint="eastAsia" w:ascii="Arial" w:hAnsi="Arial" w:cs="Arial"/>
          <w:sz w:val="24"/>
        </w:rPr>
        <w:t>内分泌科</w:t>
      </w:r>
    </w:p>
    <w:p w14:paraId="069D6878">
      <w:pPr>
        <w:spacing w:before="156" w:beforeLines="50" w:line="360" w:lineRule="auto"/>
        <w:contextualSpacing/>
        <w:rPr>
          <w:rFonts w:ascii="Arial" w:hAnsi="Arial" w:cs="Arial"/>
          <w:sz w:val="24"/>
        </w:rPr>
      </w:pPr>
      <w:r>
        <w:rPr>
          <w:rFonts w:ascii="Arial" w:hAnsi="Arial" w:cs="Arial"/>
          <w:b/>
          <w:bCs/>
          <w:sz w:val="24"/>
        </w:rPr>
        <w:t>目前职称：</w:t>
      </w:r>
      <w:r>
        <w:rPr>
          <w:rFonts w:hint="eastAsia" w:ascii="Arial" w:hAnsi="Arial" w:cs="Arial"/>
          <w:sz w:val="24"/>
        </w:rPr>
        <w:t>副主任医师</w:t>
      </w:r>
    </w:p>
    <w:p w14:paraId="6CE29417">
      <w:pPr>
        <w:spacing w:before="156" w:beforeLines="50" w:line="360" w:lineRule="auto"/>
        <w:contextualSpacing/>
        <w:rPr>
          <w:rFonts w:ascii="Arial" w:hAnsi="Arial" w:cs="Arial"/>
          <w:sz w:val="24"/>
        </w:rPr>
      </w:pPr>
      <w:r>
        <w:rPr>
          <w:rFonts w:ascii="Arial" w:hAnsi="Arial" w:cs="Arial"/>
          <w:b/>
          <w:bCs/>
          <w:sz w:val="24"/>
        </w:rPr>
        <w:t>拟申请职称：</w:t>
      </w:r>
      <w:r>
        <w:rPr>
          <w:rFonts w:ascii="Arial" w:hAnsi="Arial" w:cs="Arial"/>
          <w:sz w:val="24"/>
        </w:rPr>
        <w:t>主任医师</w:t>
      </w:r>
    </w:p>
    <w:p w14:paraId="1E6CF007">
      <w:pPr>
        <w:spacing w:before="156" w:beforeLines="50" w:line="360" w:lineRule="auto"/>
        <w:contextualSpacing/>
        <w:rPr>
          <w:rFonts w:ascii="Arial" w:hAnsi="Arial" w:cs="Arial"/>
          <w:sz w:val="24"/>
        </w:rPr>
      </w:pPr>
      <w:r>
        <w:rPr>
          <w:rFonts w:ascii="Arial" w:hAnsi="Arial" w:cs="Arial"/>
          <w:b/>
          <w:bCs/>
          <w:sz w:val="24"/>
        </w:rPr>
        <w:t>拟申请专业</w:t>
      </w:r>
      <w:r>
        <w:rPr>
          <w:rFonts w:ascii="Arial" w:hAnsi="Arial" w:cs="Arial"/>
          <w:sz w:val="24"/>
        </w:rPr>
        <w:t>：</w:t>
      </w:r>
      <w:r>
        <w:rPr>
          <w:rFonts w:hint="eastAsia" w:ascii="Arial" w:hAnsi="Arial" w:cs="Arial"/>
          <w:sz w:val="24"/>
        </w:rPr>
        <w:t>内分泌学</w:t>
      </w:r>
    </w:p>
    <w:p w14:paraId="4990934D">
      <w:pPr>
        <w:widowControl/>
        <w:spacing w:line="360" w:lineRule="auto"/>
        <w:ind w:firstLine="480"/>
        <w:contextualSpacing/>
        <w:rPr>
          <w:rFonts w:ascii="Arial" w:hAnsi="Arial" w:cs="Arial"/>
          <w:sz w:val="24"/>
        </w:rPr>
      </w:pPr>
    </w:p>
    <w:p w14:paraId="0628C813">
      <w:pPr>
        <w:widowControl/>
        <w:spacing w:line="360" w:lineRule="auto"/>
        <w:ind w:firstLine="480"/>
        <w:contextualSpacing/>
        <w:rPr>
          <w:rFonts w:ascii="Arial" w:hAnsi="Arial" w:cs="Arial"/>
          <w:sz w:val="24"/>
        </w:rPr>
      </w:pPr>
      <w:r>
        <w:rPr>
          <w:rFonts w:ascii="Arial" w:hAnsi="Arial" w:cs="Arial"/>
          <w:sz w:val="24"/>
        </w:rPr>
        <w:t>G</w:t>
      </w:r>
      <w:r>
        <w:rPr>
          <w:rFonts w:hint="eastAsia" w:ascii="Arial" w:hAnsi="Arial" w:cs="Arial"/>
          <w:sz w:val="24"/>
        </w:rPr>
        <w:t>italman综合征为罕见病例，临床表现多样，易漏诊，诊治不及时会影响青少年生长发育。本例患者上呼吸道感染后出现乏力，四肢麻木，化验检查提示低钾血症，该症病因复杂，入院后完善相关化验检查，进行详细的鉴别诊断，结合病史锁定</w:t>
      </w:r>
      <w:r>
        <w:rPr>
          <w:rFonts w:ascii="Arial" w:hAnsi="Arial" w:cs="Arial"/>
          <w:sz w:val="24"/>
        </w:rPr>
        <w:t>G</w:t>
      </w:r>
      <w:r>
        <w:rPr>
          <w:rFonts w:hint="eastAsia" w:ascii="Arial" w:hAnsi="Arial" w:cs="Arial"/>
          <w:sz w:val="24"/>
        </w:rPr>
        <w:t>italman综合征，最后通过基因检测确诊。经过补充电解质治疗，患者实验室指标正常，症状缓解出院。除对患者进行饮食、用药及运动指导外，还进行了详细的家系调查,以便对可能发病的患者给予相应的遗传咨询。</w:t>
      </w:r>
    </w:p>
    <w:p w14:paraId="7F2400C3">
      <w:pPr>
        <w:pStyle w:val="14"/>
        <w:numPr>
          <w:ilvl w:val="0"/>
          <w:numId w:val="1"/>
        </w:numPr>
        <w:spacing w:before="156" w:beforeLines="50" w:line="360" w:lineRule="auto"/>
        <w:ind w:firstLineChars="0"/>
        <w:contextualSpacing/>
        <w:rPr>
          <w:rFonts w:ascii="Arial" w:hAnsi="Arial" w:cs="Arial"/>
          <w:b/>
          <w:bCs/>
          <w:sz w:val="24"/>
        </w:rPr>
      </w:pPr>
      <w:r>
        <w:rPr>
          <w:rFonts w:ascii="Arial" w:hAnsi="Arial" w:cs="Arial"/>
          <w:b/>
          <w:bCs/>
          <w:sz w:val="24"/>
        </w:rPr>
        <w:t>病例资料</w:t>
      </w:r>
    </w:p>
    <w:p w14:paraId="784681E8">
      <w:pPr>
        <w:pStyle w:val="14"/>
        <w:spacing w:before="156" w:beforeLines="50" w:line="360" w:lineRule="auto"/>
        <w:ind w:firstLine="0" w:firstLineChars="0"/>
        <w:contextualSpacing/>
        <w:rPr>
          <w:rFonts w:ascii="Arial" w:hAnsi="Arial" w:cs="Arial"/>
          <w:sz w:val="24"/>
        </w:rPr>
      </w:pPr>
      <w:r>
        <w:rPr>
          <w:rFonts w:ascii="Arial" w:hAnsi="Arial" w:cs="Arial"/>
          <w:sz w:val="24"/>
        </w:rPr>
        <w:t>1.1患者信息及病史</w:t>
      </w:r>
    </w:p>
    <w:p w14:paraId="6B986F1A">
      <w:pPr>
        <w:pStyle w:val="14"/>
        <w:spacing w:before="156" w:beforeLines="50" w:line="360" w:lineRule="auto"/>
        <w:ind w:firstLine="398" w:firstLineChars="166"/>
        <w:contextualSpacing/>
        <w:rPr>
          <w:rFonts w:ascii="Arial" w:hAnsi="Arial" w:cs="Arial"/>
          <w:sz w:val="24"/>
        </w:rPr>
      </w:pPr>
      <w:r>
        <w:rPr>
          <w:rFonts w:ascii="Arial" w:hAnsi="Arial" w:cs="Arial"/>
          <w:sz w:val="24"/>
        </w:rPr>
        <w:t>患者</w:t>
      </w:r>
      <w:r>
        <w:rPr>
          <w:rFonts w:hint="eastAsia" w:ascii="Arial" w:hAnsi="Arial" w:cs="Arial"/>
          <w:sz w:val="24"/>
        </w:rPr>
        <w:t>赵</w:t>
      </w:r>
      <w:r>
        <w:rPr>
          <w:rFonts w:ascii="Arial" w:hAnsi="Arial" w:cs="Arial"/>
          <w:sz w:val="24"/>
        </w:rPr>
        <w:t>某，</w:t>
      </w:r>
      <w:r>
        <w:rPr>
          <w:rFonts w:hint="eastAsia" w:ascii="Arial" w:hAnsi="Arial" w:cs="Arial"/>
          <w:sz w:val="24"/>
        </w:rPr>
        <w:t>男</w:t>
      </w:r>
      <w:r>
        <w:rPr>
          <w:rFonts w:ascii="Arial" w:hAnsi="Arial" w:cs="Arial"/>
          <w:sz w:val="24"/>
        </w:rPr>
        <w:t>，</w:t>
      </w:r>
      <w:r>
        <w:rPr>
          <w:rFonts w:hint="eastAsia" w:ascii="Arial" w:hAnsi="Arial" w:cs="Arial"/>
          <w:sz w:val="24"/>
        </w:rPr>
        <w:t>14</w:t>
      </w:r>
      <w:r>
        <w:rPr>
          <w:rFonts w:ascii="Arial" w:hAnsi="Arial" w:cs="Arial"/>
          <w:sz w:val="24"/>
        </w:rPr>
        <w:t>岁，住院号：</w:t>
      </w:r>
      <w:r>
        <w:rPr>
          <w:rFonts w:hint="eastAsia" w:ascii="Arial" w:hAnsi="Arial" w:cs="Arial"/>
          <w:sz w:val="24"/>
        </w:rPr>
        <w:t>********</w:t>
      </w:r>
    </w:p>
    <w:p w14:paraId="5A0901F5">
      <w:pPr>
        <w:pStyle w:val="14"/>
        <w:spacing w:before="156" w:beforeLines="50" w:line="360" w:lineRule="auto"/>
        <w:ind w:firstLine="398" w:firstLineChars="166"/>
        <w:contextualSpacing/>
        <w:rPr>
          <w:rFonts w:ascii="Arial" w:hAnsi="Arial" w:cs="Arial"/>
          <w:sz w:val="24"/>
        </w:rPr>
      </w:pPr>
      <w:r>
        <w:rPr>
          <w:rFonts w:ascii="Arial" w:hAnsi="Arial" w:cs="Arial"/>
          <w:sz w:val="24"/>
        </w:rPr>
        <w:t>入院时间：20</w:t>
      </w:r>
      <w:r>
        <w:rPr>
          <w:rFonts w:hint="eastAsia" w:ascii="Arial" w:hAnsi="Arial" w:cs="Arial"/>
          <w:sz w:val="24"/>
        </w:rPr>
        <w:t>17</w:t>
      </w:r>
      <w:r>
        <w:rPr>
          <w:rFonts w:ascii="Arial" w:hAnsi="Arial" w:cs="Arial"/>
          <w:sz w:val="24"/>
        </w:rPr>
        <w:t>年</w:t>
      </w:r>
      <w:r>
        <w:rPr>
          <w:rFonts w:hint="eastAsia" w:ascii="Arial" w:hAnsi="Arial" w:cs="Arial"/>
          <w:sz w:val="24"/>
        </w:rPr>
        <w:t>8</w:t>
      </w:r>
      <w:r>
        <w:rPr>
          <w:rFonts w:ascii="Arial" w:hAnsi="Arial" w:cs="Arial"/>
          <w:sz w:val="24"/>
        </w:rPr>
        <w:t>月</w:t>
      </w:r>
      <w:r>
        <w:rPr>
          <w:rFonts w:hint="eastAsia" w:ascii="Arial" w:hAnsi="Arial" w:cs="Arial"/>
          <w:sz w:val="24"/>
        </w:rPr>
        <w:t>28</w:t>
      </w:r>
      <w:r>
        <w:rPr>
          <w:rFonts w:ascii="Arial" w:hAnsi="Arial" w:cs="Arial"/>
          <w:sz w:val="24"/>
        </w:rPr>
        <w:t>日</w:t>
      </w:r>
    </w:p>
    <w:p w14:paraId="12B5378F">
      <w:pPr>
        <w:pStyle w:val="14"/>
        <w:spacing w:before="156" w:beforeLines="50" w:line="360" w:lineRule="auto"/>
        <w:ind w:firstLine="398" w:firstLineChars="166"/>
        <w:contextualSpacing/>
        <w:rPr>
          <w:rFonts w:ascii="Arial" w:hAnsi="Arial" w:cs="Arial"/>
          <w:sz w:val="24"/>
        </w:rPr>
      </w:pPr>
      <w:r>
        <w:rPr>
          <w:rFonts w:ascii="Arial" w:hAnsi="Arial" w:cs="Arial"/>
          <w:sz w:val="24"/>
        </w:rPr>
        <w:t>主诉：</w:t>
      </w:r>
      <w:r>
        <w:rPr>
          <w:rFonts w:hint="eastAsia" w:ascii="Arial" w:hAnsi="Arial" w:cs="Arial"/>
          <w:sz w:val="24"/>
        </w:rPr>
        <w:t>咳嗽、胸闷2周，乏力伴四肢麻木3天</w:t>
      </w:r>
    </w:p>
    <w:p w14:paraId="299E7E86">
      <w:pPr>
        <w:pStyle w:val="14"/>
        <w:spacing w:before="156" w:beforeLines="50" w:line="360" w:lineRule="auto"/>
        <w:ind w:firstLine="398" w:firstLineChars="166"/>
        <w:contextualSpacing/>
        <w:rPr>
          <w:rFonts w:ascii="Arial" w:hAnsi="Arial" w:cs="Arial"/>
          <w:sz w:val="24"/>
        </w:rPr>
      </w:pPr>
      <w:r>
        <w:rPr>
          <w:rFonts w:ascii="Arial" w:hAnsi="Arial" w:cs="Arial"/>
          <w:sz w:val="24"/>
        </w:rPr>
        <w:t>现病史：</w:t>
      </w:r>
      <w:r>
        <w:rPr>
          <w:rFonts w:hint="eastAsia" w:ascii="Arial" w:hAnsi="Arial" w:cs="Arial"/>
          <w:sz w:val="24"/>
        </w:rPr>
        <w:t>2周前受凉后出现咳嗽、咳痰、胸闷，无发热。先后口服多种抗生素治疗，无好转。6天前外院检测血生化：血钾2.81mmol/L、血氯94.4mmol/L（正常参考值96.0~106.0mmol/L）、血钙2.58mmol/L(正常参考值2.2～2.6mmol/L）、血镁0.59 mmol/L（正常参考值0.7~1.1mmol/L）,诊断为“急性支气管炎、低钾血症”，予头孢唑肟2</w:t>
      </w:r>
      <w:r>
        <w:rPr>
          <w:rFonts w:ascii="Arial" w:hAnsi="Arial" w:cs="Arial"/>
          <w:sz w:val="24"/>
        </w:rPr>
        <w:t>.</w:t>
      </w:r>
      <w:r>
        <w:rPr>
          <w:rFonts w:hint="eastAsia" w:ascii="Arial" w:hAnsi="Arial" w:cs="Arial"/>
          <w:sz w:val="24"/>
        </w:rPr>
        <w:t>0g/日及氯化钾1.5g/日静滴3天，复查血钾2.59mmol/l，今为明确低钾原因收入院。</w:t>
      </w:r>
    </w:p>
    <w:p w14:paraId="682786BE">
      <w:pPr>
        <w:pStyle w:val="14"/>
        <w:spacing w:before="156" w:beforeLines="50" w:line="360" w:lineRule="auto"/>
        <w:ind w:firstLine="398" w:firstLineChars="166"/>
        <w:contextualSpacing/>
        <w:rPr>
          <w:rFonts w:ascii="Arial" w:hAnsi="Arial" w:cs="Arial"/>
          <w:sz w:val="24"/>
        </w:rPr>
      </w:pPr>
      <w:r>
        <w:rPr>
          <w:rFonts w:ascii="Arial" w:hAnsi="Arial" w:cs="Arial"/>
          <w:sz w:val="24"/>
        </w:rPr>
        <w:t>既往史：体健，否认家族史及遗传病史</w:t>
      </w:r>
      <w:r>
        <w:rPr>
          <w:rFonts w:hint="eastAsia" w:ascii="Arial" w:hAnsi="Arial" w:cs="Arial"/>
          <w:sz w:val="24"/>
        </w:rPr>
        <w:t>，无流行病学史。</w:t>
      </w:r>
    </w:p>
    <w:p w14:paraId="08E94E82">
      <w:pPr>
        <w:pStyle w:val="14"/>
        <w:spacing w:before="156" w:beforeLines="50" w:line="360" w:lineRule="auto"/>
        <w:ind w:firstLine="0" w:firstLineChars="0"/>
        <w:contextualSpacing/>
        <w:rPr>
          <w:rFonts w:ascii="Arial" w:hAnsi="Arial" w:cs="Arial"/>
          <w:sz w:val="24"/>
        </w:rPr>
      </w:pPr>
      <w:r>
        <w:rPr>
          <w:rFonts w:ascii="Arial" w:hAnsi="Arial" w:cs="Arial"/>
          <w:sz w:val="24"/>
        </w:rPr>
        <w:t>1.2体格检查</w:t>
      </w:r>
    </w:p>
    <w:p w14:paraId="53D47B5A">
      <w:pPr>
        <w:pStyle w:val="14"/>
        <w:spacing w:before="156" w:beforeLines="50" w:line="360" w:lineRule="auto"/>
        <w:ind w:firstLine="398" w:firstLineChars="166"/>
        <w:contextualSpacing/>
        <w:rPr>
          <w:rFonts w:ascii="Arial" w:hAnsi="Arial" w:cs="Arial"/>
          <w:sz w:val="24"/>
        </w:rPr>
      </w:pPr>
      <w:r>
        <w:rPr>
          <w:rFonts w:hint="eastAsia" w:ascii="Arial" w:hAnsi="Arial" w:cs="Arial"/>
          <w:sz w:val="24"/>
        </w:rPr>
        <w:t>体温36.3°</w:t>
      </w:r>
      <w:r>
        <w:rPr>
          <w:rFonts w:ascii="Arial" w:hAnsi="Arial" w:cs="Arial"/>
          <w:sz w:val="24"/>
        </w:rPr>
        <w:t>C</w:t>
      </w:r>
      <w:r>
        <w:rPr>
          <w:rFonts w:hint="eastAsia" w:ascii="Arial" w:hAnsi="Arial" w:cs="Arial"/>
          <w:sz w:val="24"/>
        </w:rPr>
        <w:t>，脉搏92次/min，左上肢血压111/82mmHg，右上肢血压血压111/82mmHg，身高178cm，体重74kg。全身浅表淋巴结不大。双肺呼吸音粗，未闻及干湿啰音，心率92次/min，律齐。腹软，无压痛，肝脾肋下未及，肠鸣音3次/min。四肢肌力5级，双下肢不肿。</w:t>
      </w:r>
    </w:p>
    <w:p w14:paraId="50C4AC38">
      <w:pPr>
        <w:pStyle w:val="14"/>
        <w:spacing w:before="156" w:beforeLines="50" w:line="360" w:lineRule="auto"/>
        <w:ind w:firstLine="0" w:firstLineChars="0"/>
        <w:contextualSpacing/>
        <w:rPr>
          <w:rFonts w:ascii="Arial" w:hAnsi="Arial" w:cs="Arial"/>
          <w:sz w:val="24"/>
        </w:rPr>
      </w:pPr>
      <w:r>
        <w:rPr>
          <w:rFonts w:ascii="Arial" w:hAnsi="Arial" w:cs="Arial"/>
          <w:sz w:val="24"/>
        </w:rPr>
        <w:t>1.3 辅助检查</w:t>
      </w:r>
    </w:p>
    <w:p w14:paraId="328A7CBC">
      <w:pPr>
        <w:pStyle w:val="14"/>
        <w:spacing w:before="156" w:beforeLines="50" w:line="360" w:lineRule="auto"/>
        <w:ind w:firstLine="398" w:firstLineChars="166"/>
        <w:contextualSpacing/>
        <w:rPr>
          <w:rFonts w:ascii="Arial" w:hAnsi="Arial" w:cs="Arial"/>
          <w:sz w:val="24"/>
        </w:rPr>
      </w:pPr>
      <w:r>
        <w:rPr>
          <w:rFonts w:hint="eastAsia" w:ascii="Arial" w:hAnsi="Arial" w:cs="Arial"/>
          <w:sz w:val="24"/>
        </w:rPr>
        <w:t>（1）生化：钾3.17mmol/L（降低），钠138.0 mmol/L，氯97.0mmol/L，钙2.47mmol/L，尿酸520.4umol/L；血清镁0.66mmol/L(降低)；尿钙&lt;2.50mmol/24h；尿钾73.28mmol/24 h。血气分析：pH值7.46，血浆HCO-31.7mmol/(升高)，BE7mmol/L。</w:t>
      </w:r>
    </w:p>
    <w:p w14:paraId="7466573F">
      <w:pPr>
        <w:pStyle w:val="14"/>
        <w:spacing w:before="156" w:beforeLines="50" w:line="360" w:lineRule="auto"/>
        <w:ind w:firstLine="398" w:firstLineChars="166"/>
        <w:contextualSpacing/>
        <w:rPr>
          <w:rFonts w:ascii="Arial" w:hAnsi="Arial" w:cs="Arial"/>
          <w:sz w:val="24"/>
        </w:rPr>
      </w:pPr>
      <w:r>
        <w:rPr>
          <w:rFonts w:hint="eastAsia" w:ascii="Arial" w:hAnsi="Arial" w:cs="Arial"/>
          <w:sz w:val="24"/>
        </w:rPr>
        <w:t>（2）尿游离皮质醇95.36ug/24h(正常参考值58~403</w:t>
      </w:r>
      <w:r>
        <w:rPr>
          <w:rFonts w:ascii="Arial" w:hAnsi="Arial" w:cs="Arial"/>
          <w:sz w:val="24"/>
        </w:rPr>
        <w:t>u</w:t>
      </w:r>
      <w:r>
        <w:rPr>
          <w:rFonts w:hint="eastAsia" w:ascii="Arial" w:hAnsi="Arial" w:cs="Arial"/>
          <w:sz w:val="24"/>
        </w:rPr>
        <w:t>g/24h)，血皮质醇、ACTH节律符合生理性节律(表</w:t>
      </w:r>
      <w:r>
        <w:rPr>
          <w:rFonts w:ascii="Arial" w:hAnsi="Arial" w:cs="Arial"/>
          <w:sz w:val="24"/>
        </w:rPr>
        <w:t>1)</w:t>
      </w:r>
      <w:r>
        <w:rPr>
          <w:rFonts w:hint="eastAsia" w:ascii="Arial" w:hAnsi="Arial" w:cs="Arial"/>
          <w:sz w:val="24"/>
        </w:rPr>
        <w:t>；甲状腺功能及抗体未见异常。卧立位醛固酮结果提示肾素水平明显升高(表2）。肾上腺CT扫描末见异常，肾脏B超和肾动脉B超检查均未见异常。</w:t>
      </w:r>
    </w:p>
    <w:p w14:paraId="4E7018FD">
      <w:pPr>
        <w:spacing w:before="156" w:beforeLines="50" w:line="360" w:lineRule="auto"/>
        <w:ind w:left="283" w:leftChars="135" w:firstLine="480" w:firstLineChars="200"/>
        <w:contextualSpacing/>
        <w:rPr>
          <w:rFonts w:ascii="Arial" w:hAnsi="Arial" w:cs="Arial"/>
          <w:sz w:val="24"/>
        </w:rPr>
      </w:pPr>
      <w:r>
        <w:rPr>
          <w:rFonts w:hint="eastAsia" w:ascii="Arial" w:hAnsi="Arial" w:cs="Arial"/>
          <w:sz w:val="24"/>
        </w:rPr>
        <w:drawing>
          <wp:inline distT="0" distB="0" distL="114300" distR="114300">
            <wp:extent cx="3773170" cy="3128010"/>
            <wp:effectExtent l="0" t="0" r="11430" b="21590"/>
            <wp:docPr id="1" name="图片 1" descr="截屏2024-06-19 下午4.0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截屏2024-06-19 下午4.08.57"/>
                    <pic:cNvPicPr>
                      <a:picLocks noChangeAspect="1"/>
                    </pic:cNvPicPr>
                  </pic:nvPicPr>
                  <pic:blipFill>
                    <a:blip r:embed="rId4"/>
                    <a:stretch>
                      <a:fillRect/>
                    </a:stretch>
                  </pic:blipFill>
                  <pic:spPr>
                    <a:xfrm>
                      <a:off x="0" y="0"/>
                      <a:ext cx="3773170" cy="3128010"/>
                    </a:xfrm>
                    <a:prstGeom prst="rect">
                      <a:avLst/>
                    </a:prstGeom>
                  </pic:spPr>
                </pic:pic>
              </a:graphicData>
            </a:graphic>
          </wp:inline>
        </w:drawing>
      </w:r>
    </w:p>
    <w:p w14:paraId="0CCA831B">
      <w:pPr>
        <w:spacing w:before="156" w:beforeLines="50" w:line="360" w:lineRule="auto"/>
        <w:ind w:firstLine="480" w:firstLineChars="200"/>
        <w:contextualSpacing/>
        <w:rPr>
          <w:rFonts w:ascii="Arial" w:hAnsi="Arial" w:cs="Arial"/>
          <w:sz w:val="24"/>
        </w:rPr>
      </w:pPr>
      <w:r>
        <w:rPr>
          <w:rFonts w:hint="eastAsia" w:ascii="Arial" w:hAnsi="Arial" w:cs="Arial"/>
          <w:sz w:val="24"/>
        </w:rPr>
        <w:t>（3）基因检测示,SLC12A3基因有2个杂合突变(图1,分別位于：①1号外显子第208号核苷酸胞嘧啶变异为胸腺嘧啶(NM_ 000339.2 c.179 C&gt;T)，导致第60号氨基酸由苏氨酸变异为蛋氨酸(p.Thr60Met)；②23号外显子第2715号核苷酸由胞嘧啶错义突变为胸腺嘧啶(NM_000339.2 c.2686 C&gt;T,导致第896号氨基酸由精氨酸无义突变为终止密码子(p.Arg896Ter）。</w:t>
      </w:r>
    </w:p>
    <w:p w14:paraId="254A5080">
      <w:pPr>
        <w:spacing w:before="156" w:beforeLines="50" w:line="360" w:lineRule="auto"/>
        <w:ind w:left="218" w:leftChars="104"/>
        <w:contextualSpacing/>
        <w:rPr>
          <w:rFonts w:ascii="Arial" w:hAnsi="Arial" w:cs="Arial"/>
          <w:sz w:val="24"/>
        </w:rPr>
      </w:pPr>
      <w:r>
        <w:rPr>
          <w:rFonts w:hint="eastAsia" w:ascii="Arial" w:hAnsi="Arial" w:cs="Arial"/>
          <w:sz w:val="24"/>
        </w:rPr>
        <w:drawing>
          <wp:inline distT="0" distB="0" distL="114300" distR="114300">
            <wp:extent cx="5271135" cy="2641600"/>
            <wp:effectExtent l="0" t="0" r="12065" b="0"/>
            <wp:docPr id="2" name="图片 2" descr="截屏2024-06-19 下午4.4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截屏2024-06-19 下午4.49.29"/>
                    <pic:cNvPicPr>
                      <a:picLocks noChangeAspect="1"/>
                    </pic:cNvPicPr>
                  </pic:nvPicPr>
                  <pic:blipFill>
                    <a:blip r:embed="rId5"/>
                    <a:stretch>
                      <a:fillRect/>
                    </a:stretch>
                  </pic:blipFill>
                  <pic:spPr>
                    <a:xfrm>
                      <a:off x="0" y="0"/>
                      <a:ext cx="5271135" cy="2641600"/>
                    </a:xfrm>
                    <a:prstGeom prst="rect">
                      <a:avLst/>
                    </a:prstGeom>
                  </pic:spPr>
                </pic:pic>
              </a:graphicData>
            </a:graphic>
          </wp:inline>
        </w:drawing>
      </w:r>
    </w:p>
    <w:p w14:paraId="06400E43">
      <w:pPr>
        <w:spacing w:before="156" w:beforeLines="50" w:line="360" w:lineRule="auto"/>
        <w:contextualSpacing/>
        <w:rPr>
          <w:rFonts w:ascii="Arial" w:hAnsi="Arial" w:cs="Arial"/>
          <w:sz w:val="24"/>
        </w:rPr>
      </w:pPr>
      <w:r>
        <w:rPr>
          <w:rFonts w:ascii="Arial" w:hAnsi="Arial" w:cs="Arial"/>
          <w:sz w:val="24"/>
        </w:rPr>
        <w:t>1.4 诊断及鉴别诊断</w:t>
      </w:r>
    </w:p>
    <w:p w14:paraId="7F339B35">
      <w:pPr>
        <w:spacing w:before="156" w:beforeLines="50" w:line="360" w:lineRule="auto"/>
        <w:ind w:firstLine="480" w:firstLineChars="200"/>
        <w:contextualSpacing/>
        <w:rPr>
          <w:rFonts w:ascii="Arial" w:hAnsi="Arial" w:cs="Arial"/>
          <w:sz w:val="24"/>
        </w:rPr>
      </w:pPr>
      <w:r>
        <w:rPr>
          <w:rFonts w:ascii="Arial" w:hAnsi="Arial" w:cs="Arial"/>
          <w:sz w:val="24"/>
        </w:rPr>
        <w:t>目前诊断：G</w:t>
      </w:r>
      <w:r>
        <w:rPr>
          <w:rFonts w:hint="eastAsia" w:ascii="Arial" w:hAnsi="Arial" w:cs="Arial"/>
          <w:sz w:val="24"/>
        </w:rPr>
        <w:t>italman综合征</w:t>
      </w:r>
    </w:p>
    <w:p w14:paraId="03798734">
      <w:pPr>
        <w:spacing w:before="156" w:beforeLines="50" w:line="360" w:lineRule="auto"/>
        <w:ind w:firstLine="480" w:firstLineChars="200"/>
        <w:contextualSpacing/>
        <w:rPr>
          <w:rFonts w:ascii="Arial" w:hAnsi="Arial" w:cs="Arial"/>
          <w:sz w:val="24"/>
        </w:rPr>
      </w:pPr>
      <w:r>
        <w:rPr>
          <w:rFonts w:ascii="Arial" w:hAnsi="Arial" w:cs="Arial"/>
          <w:sz w:val="24"/>
        </w:rPr>
        <w:t>诊断依据：G</w:t>
      </w:r>
      <w:r>
        <w:rPr>
          <w:rFonts w:hint="eastAsia" w:ascii="Arial" w:hAnsi="Arial" w:cs="Arial"/>
          <w:sz w:val="24"/>
        </w:rPr>
        <w:t>S多在儿童和青少年起病，典型表现低血钾、低血镁、低血氣、低尿钙、偏低血压和RAAS活性增高。本例青少年发病，乏力、四肢麻木，</w:t>
      </w:r>
      <w:r>
        <w:rPr>
          <w:rFonts w:ascii="Arial" w:hAnsi="Arial" w:cs="Arial"/>
          <w:sz w:val="24"/>
        </w:rPr>
        <w:t>辅助检查</w:t>
      </w:r>
      <w:r>
        <w:rPr>
          <w:rFonts w:hint="eastAsia" w:ascii="Arial" w:hAnsi="Arial" w:cs="Arial"/>
          <w:sz w:val="24"/>
        </w:rPr>
        <w:t>示低钾碱中毒伴有低镁和低尿钙，肾素升高，肾素-血管紧张素-醛固酮系统(RAAS)激活</w:t>
      </w:r>
      <w:r>
        <w:rPr>
          <w:rFonts w:ascii="Arial" w:hAnsi="Arial" w:cs="Arial"/>
          <w:sz w:val="24"/>
        </w:rPr>
        <w:t>。</w:t>
      </w:r>
      <w:r>
        <w:rPr>
          <w:rFonts w:hint="eastAsia" w:ascii="Arial" w:hAnsi="Arial" w:cs="Arial"/>
          <w:sz w:val="24"/>
        </w:rPr>
        <w:t>基因检测示SLC12A3基因有2个杂合突变，人类基因突变数据库（HCMD)上述突变已报道可导致GS，诊断明确。</w:t>
      </w:r>
    </w:p>
    <w:p w14:paraId="306B905C">
      <w:pPr>
        <w:spacing w:before="156" w:beforeLines="50" w:line="360" w:lineRule="auto"/>
        <w:ind w:firstLine="480" w:firstLineChars="200"/>
        <w:contextualSpacing/>
        <w:rPr>
          <w:rFonts w:ascii="Arial" w:hAnsi="Arial" w:cs="Arial"/>
          <w:sz w:val="24"/>
        </w:rPr>
      </w:pPr>
      <w:r>
        <w:rPr>
          <w:rFonts w:hint="eastAsia" w:ascii="Arial" w:hAnsi="Arial" w:cs="Arial"/>
          <w:sz w:val="24"/>
        </w:rPr>
        <w:t>低钾血症</w:t>
      </w:r>
      <w:r>
        <w:rPr>
          <w:rFonts w:ascii="Arial" w:hAnsi="Arial" w:cs="Arial"/>
          <w:sz w:val="24"/>
        </w:rPr>
        <w:t>鉴别诊断：</w:t>
      </w:r>
      <w:r>
        <w:rPr>
          <w:rFonts w:hint="eastAsia" w:ascii="Arial" w:hAnsi="Arial" w:cs="Arial"/>
          <w:sz w:val="24"/>
        </w:rPr>
        <w:t>（1）各种原因引起的摄人不足、腹泻，汗液丢失或者药物性低钾血症，患者无相关病史，不支持。（2）内分泌疾病所致低钾血症：多合并高血压，血中醛固酮、皮质醇、儿茶酚胺等水平升高，肾上腺及垂体影像学可有占位或者增生。患者血压正常，影像学未见异常，不支持。（3）高血糖和糖尿病酮症酸中毒引起的低钾血症，患者血糖正常，不支持。（4）其他如肾小管酸中毒、Fanconi综合征，二者血气分析呈现酸中毒，患者血气p值&gt;7.35，可排除。（5）Bartter综合征：该发病年龄相对较早、病情较重，可伴生长发育迟缓，血镁和尿钙水平正常。患者与此不符，基因检测可鉴别。</w:t>
      </w:r>
    </w:p>
    <w:p w14:paraId="1696F734">
      <w:pPr>
        <w:spacing w:before="156" w:beforeLines="50" w:line="360" w:lineRule="auto"/>
        <w:contextualSpacing/>
        <w:rPr>
          <w:rFonts w:ascii="Arial" w:hAnsi="Arial" w:cs="Arial"/>
          <w:sz w:val="24"/>
        </w:rPr>
      </w:pPr>
      <w:r>
        <w:rPr>
          <w:rFonts w:ascii="Arial" w:hAnsi="Arial" w:cs="Arial"/>
          <w:sz w:val="24"/>
        </w:rPr>
        <w:t>1.5 治疗干预</w:t>
      </w:r>
      <w:r>
        <w:rPr>
          <w:rFonts w:hint="eastAsia" w:ascii="Arial" w:hAnsi="Arial" w:cs="Arial"/>
          <w:sz w:val="24"/>
        </w:rPr>
        <w:t>、</w:t>
      </w:r>
      <w:r>
        <w:rPr>
          <w:rFonts w:ascii="Arial" w:hAnsi="Arial" w:cs="Arial"/>
          <w:sz w:val="24"/>
        </w:rPr>
        <w:t>治疗结果、随访及转归</w:t>
      </w:r>
    </w:p>
    <w:p w14:paraId="4AADCD34">
      <w:pPr>
        <w:spacing w:before="156" w:beforeLines="50" w:line="360" w:lineRule="auto"/>
        <w:ind w:firstLine="480" w:firstLineChars="200"/>
        <w:contextualSpacing/>
        <w:rPr>
          <w:rFonts w:ascii="Arial" w:hAnsi="Arial" w:cs="Arial"/>
          <w:sz w:val="24"/>
        </w:rPr>
      </w:pPr>
      <w:r>
        <w:rPr>
          <w:rFonts w:hint="eastAsia" w:ascii="Arial" w:hAnsi="Arial" w:cs="Arial"/>
          <w:sz w:val="24"/>
        </w:rPr>
        <w:t>药物治疗方面，鼓励所有患者维持高钠及高钾饮食，终生补充钾和镁。故本例患者在高钠、高钾饮食基础上予门冬氮酸钾镁口服治疗。复查电解质正常，症状缓解出院。</w:t>
      </w:r>
    </w:p>
    <w:p w14:paraId="4CD02367">
      <w:pPr>
        <w:spacing w:before="156" w:beforeLines="50" w:line="360" w:lineRule="auto"/>
        <w:ind w:firstLine="426"/>
        <w:contextualSpacing/>
        <w:rPr>
          <w:rFonts w:ascii="Arial" w:hAnsi="Arial" w:cs="Arial"/>
          <w:sz w:val="24"/>
        </w:rPr>
      </w:pPr>
      <w:r>
        <w:rPr>
          <w:rFonts w:hint="eastAsia" w:ascii="Arial" w:hAnsi="Arial" w:cs="Arial"/>
          <w:sz w:val="24"/>
        </w:rPr>
        <w:t>出院后3个月内随访3次，血钾3.0～3.5mmol/L，血镁0.6~0.7 mmol/上，可正常生活和学习，并参加轻量体育活动。患者母亲行基因检测显示，SLC12A3基因有1个杂合突变；父亲拒绝检查；患者的妹妹基因检测未发现突变位点。</w:t>
      </w:r>
    </w:p>
    <w:p w14:paraId="4F688067">
      <w:pPr>
        <w:spacing w:before="156" w:beforeLines="50" w:line="360" w:lineRule="auto"/>
        <w:contextualSpacing/>
        <w:rPr>
          <w:rFonts w:ascii="Arial" w:hAnsi="Arial" w:cs="Arial"/>
          <w:b/>
          <w:bCs/>
          <w:sz w:val="24"/>
        </w:rPr>
      </w:pPr>
      <w:r>
        <w:rPr>
          <w:rFonts w:ascii="Arial" w:hAnsi="Arial" w:cs="Arial"/>
          <w:b/>
          <w:bCs/>
          <w:sz w:val="24"/>
        </w:rPr>
        <w:t>2．讨论</w:t>
      </w:r>
    </w:p>
    <w:p w14:paraId="2B947060">
      <w:pPr>
        <w:spacing w:before="156" w:beforeLines="50" w:line="360" w:lineRule="auto"/>
        <w:ind w:firstLine="420"/>
        <w:contextualSpacing/>
        <w:rPr>
          <w:rFonts w:ascii="Arial" w:hAnsi="Arial" w:cs="Arial"/>
          <w:sz w:val="24"/>
        </w:rPr>
      </w:pPr>
      <w:r>
        <w:rPr>
          <w:rFonts w:ascii="Arial" w:hAnsi="Arial" w:cs="Arial"/>
          <w:sz w:val="24"/>
        </w:rPr>
        <w:t>G</w:t>
      </w:r>
      <w:r>
        <w:rPr>
          <w:rFonts w:hint="eastAsia" w:ascii="Arial" w:hAnsi="Arial" w:cs="Arial"/>
          <w:sz w:val="24"/>
        </w:rPr>
        <w:t>S</w:t>
      </w:r>
      <w:r>
        <w:rPr>
          <w:rFonts w:hint="eastAsia" w:ascii="Arial" w:hAnsi="Arial" w:cs="Arial"/>
          <w:sz w:val="24"/>
          <w:vertAlign w:val="superscript"/>
        </w:rPr>
        <w:t>[1]</w:t>
      </w:r>
      <w:r>
        <w:rPr>
          <w:rFonts w:hint="eastAsia" w:ascii="Arial" w:hAnsi="Arial" w:cs="Arial"/>
          <w:sz w:val="24"/>
        </w:rPr>
        <w:t>是一种常染色体隐性遗传的肾小管疾病，由于编码SLC12A3的双等位基因失活突变导致，患病率约为1/40 000~10/40 000”。临床症状不典型，可有嗜盐，多饮，多尿，乏力，麻木，生长迟缓等。典型表现为“五低一高”和代谢性碱中毒，即低血钾、低血镁、低血氯、低尿钙、偏低血压和RAAS活性增高。其中，低血镁和低尿钙对诊断GS有重要价值。</w:t>
      </w:r>
    </w:p>
    <w:p w14:paraId="78BB7C3D">
      <w:pPr>
        <w:spacing w:before="156" w:beforeLines="50" w:line="360" w:lineRule="auto"/>
        <w:ind w:firstLine="420"/>
        <w:contextualSpacing/>
        <w:rPr>
          <w:rFonts w:ascii="Arial" w:hAnsi="Arial" w:cs="Arial"/>
          <w:sz w:val="24"/>
        </w:rPr>
      </w:pPr>
      <w:r>
        <w:rPr>
          <w:rFonts w:hint="eastAsia" w:ascii="Arial" w:hAnsi="Arial" w:cs="Arial"/>
          <w:sz w:val="24"/>
        </w:rPr>
        <w:t>低钾血症是临床常见症状，梳理鉴别诊断流程，首先要进行24h同步血、尿钾检查，判断尿钾排出增多</w:t>
      </w:r>
      <w:r>
        <w:rPr>
          <w:rFonts w:hint="eastAsia" w:ascii="Arial" w:hAnsi="Arial" w:cs="Arial"/>
          <w:sz w:val="24"/>
          <w:vertAlign w:val="superscript"/>
        </w:rPr>
        <w:t>[2]</w:t>
      </w:r>
      <w:r>
        <w:rPr>
          <w:rFonts w:hint="eastAsia" w:ascii="Arial" w:hAnsi="Arial" w:cs="Arial"/>
          <w:sz w:val="24"/>
        </w:rPr>
        <w:t>，根据血压鉴别。若血压正常，考虑：①GS和Bartter综合征：后者血镁及尿钙正常；②肾小管酸中毒、Fanconi综合征</w:t>
      </w:r>
      <w:r>
        <w:rPr>
          <w:rFonts w:hint="eastAsia" w:ascii="Arial" w:hAnsi="Arial" w:cs="Arial"/>
          <w:sz w:val="24"/>
          <w:vertAlign w:val="superscript"/>
        </w:rPr>
        <w:t>[3]</w:t>
      </w:r>
      <w:r>
        <w:rPr>
          <w:rFonts w:hint="eastAsia" w:ascii="Arial" w:hAnsi="Arial" w:cs="Arial"/>
          <w:sz w:val="24"/>
        </w:rPr>
        <w:t>：血气检测为酸中毒、RAAS不活跃。若血压升高，考虑：①原发性醛固酮增多症：醛固酮水平增高，肾素水平降低；②继发性醛固酮增多症：RAAS激活，肾素、醛固酮水平增高，肾脏及肾动脉超声可有异常；③Liddle 综合征：RAAS抑制，低肾素、低醛固酮；④Cushing 综合征或服用甘草类药物：病史、体征和皮质醇及小剂量地塞水松抑制实验等可协助诊断。</w:t>
      </w:r>
    </w:p>
    <w:p w14:paraId="52B5DE28">
      <w:pPr>
        <w:spacing w:before="156" w:beforeLines="50" w:line="360" w:lineRule="auto"/>
        <w:ind w:firstLine="420"/>
        <w:contextualSpacing/>
        <w:rPr>
          <w:rFonts w:ascii="Arial" w:hAnsi="Arial" w:cs="Arial"/>
          <w:sz w:val="24"/>
        </w:rPr>
      </w:pPr>
      <w:r>
        <w:rPr>
          <w:rFonts w:hint="eastAsia" w:ascii="Arial" w:hAnsi="Arial" w:cs="Arial"/>
          <w:sz w:val="24"/>
        </w:rPr>
        <w:t>低钾血症是临床最常见的电解质紊乱之一，病因复杂，鉴別诊断应有的放矢。本例Gitelman综合征青少年发病，以乏力、四肢麻木等低血钾为主要表现，化验提示“五低一高”伴代谢性碱中毒，结合低钾血症的诊断流程提出临床诊断，根据基因检测确诊</w:t>
      </w:r>
      <w:r>
        <w:rPr>
          <w:rFonts w:hint="eastAsia" w:ascii="Arial" w:hAnsi="Arial" w:cs="Arial"/>
          <w:sz w:val="24"/>
          <w:vertAlign w:val="superscript"/>
        </w:rPr>
        <w:t xml:space="preserve"> [</w:t>
      </w:r>
      <w:r>
        <w:rPr>
          <w:rFonts w:ascii="Arial" w:hAnsi="Arial" w:cs="Arial"/>
          <w:sz w:val="24"/>
          <w:vertAlign w:val="superscript"/>
        </w:rPr>
        <w:t>4</w:t>
      </w:r>
      <w:r>
        <w:rPr>
          <w:rFonts w:hint="eastAsia" w:ascii="Arial" w:hAnsi="Arial" w:cs="Arial"/>
          <w:sz w:val="24"/>
          <w:vertAlign w:val="superscript"/>
        </w:rPr>
        <w:t>]</w:t>
      </w:r>
      <w:r>
        <w:rPr>
          <w:rFonts w:ascii="Arial" w:hAnsi="Arial" w:cs="Arial"/>
          <w:sz w:val="24"/>
        </w:rPr>
        <w:t xml:space="preserve"> </w:t>
      </w:r>
      <w:r>
        <w:rPr>
          <w:rFonts w:hint="eastAsia" w:ascii="Arial" w:hAnsi="Arial" w:cs="Arial"/>
          <w:sz w:val="24"/>
        </w:rPr>
        <w:t>。</w:t>
      </w:r>
    </w:p>
    <w:p w14:paraId="4BFE1E3D">
      <w:pPr>
        <w:spacing w:before="156" w:beforeLines="50" w:line="360" w:lineRule="auto"/>
        <w:contextualSpacing/>
        <w:rPr>
          <w:rFonts w:ascii="Arial" w:hAnsi="Arial" w:cs="Arial"/>
          <w:b/>
          <w:bCs/>
          <w:sz w:val="24"/>
        </w:rPr>
      </w:pPr>
      <w:r>
        <w:rPr>
          <w:rFonts w:hint="eastAsia" w:ascii="Arial" w:hAnsi="Arial" w:cs="Arial"/>
          <w:b/>
          <w:bCs/>
          <w:sz w:val="24"/>
        </w:rPr>
        <w:t>参考文献</w:t>
      </w:r>
    </w:p>
    <w:p w14:paraId="17911A4B">
      <w:pPr>
        <w:numPr>
          <w:ilvl w:val="0"/>
          <w:numId w:val="2"/>
        </w:numPr>
        <w:tabs>
          <w:tab w:val="clear" w:pos="2014"/>
        </w:tabs>
        <w:spacing w:before="156" w:beforeLines="50" w:line="360" w:lineRule="auto"/>
        <w:contextualSpacing/>
        <w:jc w:val="left"/>
        <w:rPr>
          <w:rFonts w:ascii="Arial" w:hAnsi="Arial" w:cs="Arial"/>
          <w:sz w:val="24"/>
        </w:rPr>
      </w:pPr>
      <w:r>
        <w:rPr>
          <w:rFonts w:hint="eastAsia" w:ascii="Arial" w:hAnsi="Arial" w:cs="Arial"/>
          <w:sz w:val="24"/>
        </w:rPr>
        <w:t>Blanchard A, Bockenhauer D, Bolignano D, et al. Gitelman syndrome: consensus and guidance from a kidney disease: improving global outcomes (KDIGO) controversies conference</w:t>
      </w:r>
      <w:r>
        <w:rPr>
          <w:rFonts w:ascii="Arial" w:hAnsi="Arial" w:cs="Arial"/>
          <w:sz w:val="24"/>
        </w:rPr>
        <w:t>[J</w:t>
      </w:r>
      <w:r>
        <w:rPr>
          <w:rFonts w:hint="eastAsia" w:ascii="Arial" w:hAnsi="Arial" w:cs="Arial"/>
          <w:sz w:val="24"/>
        </w:rPr>
        <w:t>]. Kidney Int，2017,91(1):24-33. DOI: 10.1016/j.kint.2016.09.046.</w:t>
      </w:r>
    </w:p>
    <w:p w14:paraId="2A14ADCD">
      <w:pPr>
        <w:numPr>
          <w:ilvl w:val="0"/>
          <w:numId w:val="2"/>
        </w:numPr>
        <w:tabs>
          <w:tab w:val="clear" w:pos="2014"/>
        </w:tabs>
        <w:spacing w:before="156" w:beforeLines="50" w:line="360" w:lineRule="auto"/>
        <w:contextualSpacing/>
        <w:jc w:val="left"/>
        <w:rPr>
          <w:rFonts w:ascii="Arial" w:hAnsi="Arial" w:cs="Arial"/>
          <w:sz w:val="24"/>
        </w:rPr>
      </w:pPr>
      <w:r>
        <w:rPr>
          <w:rFonts w:hint="eastAsia" w:ascii="Arial" w:hAnsi="Arial" w:cs="Arial"/>
          <w:sz w:val="24"/>
        </w:rPr>
        <w:t>Wu KL, Cheng CJ, Sung CC, et al. Identification of the causes for chronic hypokalemia: importance of urinary sodium and chloride excretion[</w:t>
      </w:r>
      <w:r>
        <w:rPr>
          <w:rFonts w:ascii="Arial" w:hAnsi="Arial" w:cs="Arial"/>
          <w:sz w:val="24"/>
        </w:rPr>
        <w:t>J</w:t>
      </w:r>
      <w:r>
        <w:rPr>
          <w:rFonts w:hint="eastAsia" w:ascii="Arial" w:hAnsi="Arial" w:cs="Arial"/>
          <w:sz w:val="24"/>
        </w:rPr>
        <w:t>]. Am J Med, 2017, 130 (7): 846 - 855.</w:t>
      </w:r>
    </w:p>
    <w:p w14:paraId="336A0672">
      <w:pPr>
        <w:numPr>
          <w:ilvl w:val="0"/>
          <w:numId w:val="2"/>
        </w:numPr>
        <w:tabs>
          <w:tab w:val="clear" w:pos="2014"/>
        </w:tabs>
        <w:spacing w:before="156" w:beforeLines="50" w:line="360" w:lineRule="auto"/>
        <w:contextualSpacing/>
        <w:jc w:val="left"/>
        <w:rPr>
          <w:rFonts w:ascii="Arial" w:hAnsi="Arial" w:cs="Arial"/>
          <w:sz w:val="24"/>
        </w:rPr>
      </w:pPr>
      <w:r>
        <w:rPr>
          <w:rFonts w:hint="eastAsia" w:ascii="Arial" w:hAnsi="Arial" w:cs="Arial"/>
          <w:sz w:val="24"/>
        </w:rPr>
        <w:t>Perrone D, Afridi F, King - Morris K, et al. Proximal renal tubular acidosis (Fanconi syndrome) induced by apremilast: a case report[</w:t>
      </w:r>
      <w:r>
        <w:rPr>
          <w:rFonts w:ascii="Arial" w:hAnsi="Arial" w:cs="Arial"/>
          <w:sz w:val="24"/>
        </w:rPr>
        <w:t>J</w:t>
      </w:r>
      <w:r>
        <w:rPr>
          <w:rFonts w:hint="eastAsia" w:ascii="Arial" w:hAnsi="Arial" w:cs="Arial"/>
          <w:sz w:val="24"/>
        </w:rPr>
        <w:t>]. Am J Kidney Dis, 2017,70 (5): 729-731. DOI:10.1053/.aikd.2017.06.021</w:t>
      </w:r>
      <w:r>
        <w:rPr>
          <w:rFonts w:ascii="Arial" w:hAnsi="Arial" w:cs="Arial"/>
          <w:sz w:val="24"/>
        </w:rPr>
        <w:t>.</w:t>
      </w:r>
    </w:p>
    <w:p w14:paraId="12791D3D">
      <w:pPr>
        <w:numPr>
          <w:ilvl w:val="0"/>
          <w:numId w:val="2"/>
        </w:numPr>
        <w:tabs>
          <w:tab w:val="clear" w:pos="2014"/>
        </w:tabs>
        <w:spacing w:before="156" w:beforeLines="50" w:line="360" w:lineRule="auto"/>
        <w:contextualSpacing/>
        <w:jc w:val="left"/>
        <w:rPr>
          <w:rFonts w:ascii="Arial" w:hAnsi="Arial" w:cs="Arial"/>
          <w:sz w:val="24"/>
        </w:rPr>
      </w:pPr>
      <w:r>
        <w:rPr>
          <w:rFonts w:hint="eastAsia" w:ascii="Arial" w:hAnsi="Arial" w:cs="Arial"/>
          <w:sz w:val="24"/>
        </w:rPr>
        <w:t>Gitelman综合征诊治专家共识协作组.Gitelman综合征诊治专家共识[</w:t>
      </w:r>
      <w:r>
        <w:rPr>
          <w:rFonts w:ascii="Arial" w:hAnsi="Arial" w:cs="Arial"/>
          <w:sz w:val="24"/>
        </w:rPr>
        <w:t>J</w:t>
      </w:r>
      <w:r>
        <w:rPr>
          <w:rFonts w:hint="eastAsia" w:ascii="Arial" w:hAnsi="Arial" w:cs="Arial"/>
          <w:sz w:val="24"/>
        </w:rPr>
        <w:t>]</w:t>
      </w:r>
      <w:r>
        <w:rPr>
          <w:rFonts w:ascii="Arial" w:hAnsi="Arial" w:cs="Arial"/>
          <w:sz w:val="24"/>
        </w:rPr>
        <w:t>.</w:t>
      </w:r>
      <w:r>
        <w:rPr>
          <w:rFonts w:hint="eastAsia" w:ascii="Arial" w:hAnsi="Arial" w:cs="Arial"/>
          <w:sz w:val="24"/>
        </w:rPr>
        <w:t>中华内科杂志</w:t>
      </w:r>
      <w:r>
        <w:rPr>
          <w:rFonts w:ascii="Arial" w:hAnsi="Arial" w:cs="Arial"/>
          <w:sz w:val="24"/>
        </w:rPr>
        <w:t>,</w:t>
      </w:r>
      <w:r>
        <w:rPr>
          <w:rFonts w:hint="eastAsia" w:ascii="Arial" w:hAnsi="Arial" w:cs="Arial"/>
          <w:sz w:val="24"/>
        </w:rPr>
        <w:t>2017,56(9):712-716.</w:t>
      </w:r>
      <w:r>
        <w:rPr>
          <w:rFonts w:ascii="Arial" w:hAnsi="Arial" w:cs="Arial"/>
          <w:sz w:val="24"/>
        </w:rPr>
        <w:t xml:space="preserve"> </w:t>
      </w:r>
      <w:r>
        <w:rPr>
          <w:rFonts w:hint="eastAsia" w:ascii="Arial" w:hAnsi="Arial" w:cs="Arial"/>
          <w:sz w:val="24"/>
        </w:rPr>
        <w:t>DOl:10.3760/ema.j.issn.0578 -1426.2017.</w:t>
      </w:r>
    </w:p>
    <w:p w14:paraId="3C59A400">
      <w:pPr>
        <w:spacing w:before="156" w:beforeLines="50" w:line="360" w:lineRule="auto"/>
        <w:contextualSpacing/>
        <w:jc w:val="left"/>
        <w:rPr>
          <w:rFonts w:ascii="Arial" w:hAnsi="Arial" w:cs="Arial"/>
          <w:sz w:val="24"/>
        </w:rPr>
      </w:pPr>
      <w:r>
        <w:rPr>
          <w:rFonts w:hint="eastAsia" w:ascii="Arial" w:hAnsi="Arial" w:cs="Arial"/>
          <w:sz w:val="24"/>
        </w:rPr>
        <w:t>09.021.</w:t>
      </w:r>
    </w:p>
    <w:p w14:paraId="4A7826E6">
      <w:pPr>
        <w:spacing w:before="156" w:beforeLines="50" w:line="360" w:lineRule="auto"/>
        <w:contextualSpacing/>
        <w:rPr>
          <w:rFonts w:ascii="Arial" w:hAnsi="Arial" w:cs="Arial"/>
          <w:b/>
          <w:bCs/>
          <w:sz w:val="24"/>
        </w:rPr>
      </w:pPr>
      <w:r>
        <w:rPr>
          <w:rFonts w:hint="eastAsia" w:ascii="Arial" w:hAnsi="Arial" w:cs="Arial"/>
          <w:b/>
          <w:bCs/>
          <w:sz w:val="24"/>
        </w:rPr>
        <w:t>3</w:t>
      </w:r>
      <w:r>
        <w:rPr>
          <w:rFonts w:ascii="Arial" w:hAnsi="Arial" w:cs="Arial"/>
          <w:b/>
          <w:bCs/>
          <w:sz w:val="24"/>
        </w:rPr>
        <w:t xml:space="preserve">. </w:t>
      </w:r>
      <w:r>
        <w:rPr>
          <w:rFonts w:hint="eastAsia" w:ascii="Arial" w:hAnsi="Arial" w:cs="Arial"/>
          <w:b/>
          <w:bCs/>
          <w:sz w:val="24"/>
        </w:rPr>
        <w:t>附加材料</w:t>
      </w:r>
    </w:p>
    <w:p w14:paraId="23FBEEB1">
      <w:pPr>
        <w:spacing w:line="360" w:lineRule="auto"/>
        <w:contextualSpacing/>
        <w:rPr>
          <w:rFonts w:ascii="Arial" w:hAnsi="Arial" w:cs="Arial"/>
          <w:sz w:val="24"/>
        </w:rPr>
      </w:pPr>
      <w:r>
        <w:rPr>
          <w:rFonts w:hint="eastAsia" w:ascii="Arial" w:hAnsi="Arial" w:cs="Arial"/>
          <w:sz w:val="24"/>
        </w:rPr>
        <w:t>病案首页、查房意见、检查化验等（略）</w:t>
      </w:r>
    </w:p>
    <w:p w14:paraId="5407BADB">
      <w:pPr>
        <w:spacing w:line="360" w:lineRule="auto"/>
        <w:contextualSpacing/>
        <w:rPr>
          <w:rFonts w:ascii="Arial" w:hAnsi="Arial" w:cs="Arial"/>
          <w:sz w:val="24"/>
        </w:rPr>
      </w:pPr>
    </w:p>
    <w:p w14:paraId="5BFF9833">
      <w:pPr>
        <w:contextualSpacing/>
        <w:rPr>
          <w:rFonts w:ascii="Arial" w:hAnsi="Arial" w:eastAsia="宋体" w:cs="Arial"/>
          <w:sz w:val="24"/>
        </w:rPr>
      </w:pPr>
    </w:p>
    <w:p w14:paraId="4446B06A">
      <w:pPr>
        <w:contextualSpacing/>
        <w:rPr>
          <w:rFonts w:ascii="Arial" w:hAnsi="Arial" w:eastAsia="宋体" w:cs="Arial"/>
          <w:sz w:val="24"/>
        </w:rPr>
      </w:pPr>
    </w:p>
    <w:p w14:paraId="0B7466E4">
      <w:pPr>
        <w:contextualSpacing/>
        <w:rPr>
          <w:rFonts w:ascii="Arial" w:hAnsi="Arial" w:eastAsia="宋体" w:cs="Arial"/>
          <w:sz w:val="24"/>
        </w:rPr>
      </w:pPr>
    </w:p>
    <w:p w14:paraId="341D0939">
      <w:pPr>
        <w:contextualSpacing/>
        <w:rPr>
          <w:rFonts w:ascii="Arial" w:hAnsi="Arial" w:eastAsia="宋体" w:cs="Arial"/>
          <w:sz w:val="24"/>
        </w:rPr>
      </w:pPr>
    </w:p>
    <w:p w14:paraId="3A8B673C">
      <w:pPr>
        <w:contextualSpacing/>
        <w:rPr>
          <w:rFonts w:ascii="Arial" w:hAnsi="Arial" w:eastAsia="宋体" w:cs="Arial"/>
          <w:sz w:val="24"/>
        </w:rPr>
      </w:pPr>
    </w:p>
    <w:p w14:paraId="0E9573F3">
      <w:pPr>
        <w:contextualSpacing/>
        <w:rPr>
          <w:rFonts w:ascii="Arial" w:hAnsi="Arial" w:eastAsia="宋体" w:cs="Arial"/>
          <w:sz w:val="24"/>
        </w:rPr>
      </w:pPr>
    </w:p>
    <w:p w14:paraId="0A8260ED">
      <w:pPr>
        <w:contextualSpacing/>
        <w:rPr>
          <w:rFonts w:ascii="Arial" w:hAnsi="Arial" w:eastAsia="宋体" w:cs="Arial"/>
          <w:sz w:val="24"/>
        </w:rPr>
      </w:pPr>
    </w:p>
    <w:p w14:paraId="44297442">
      <w:pPr>
        <w:contextualSpacing/>
        <w:rPr>
          <w:rFonts w:ascii="Arial" w:hAnsi="Arial" w:eastAsia="宋体" w:cs="Arial"/>
          <w:sz w:val="24"/>
        </w:rPr>
      </w:pPr>
    </w:p>
    <w:p w14:paraId="0CB6F07B">
      <w:pPr>
        <w:contextualSpacing/>
        <w:rPr>
          <w:rFonts w:ascii="Arial" w:hAnsi="Arial" w:eastAsia="宋体" w:cs="Arial"/>
          <w:sz w:val="24"/>
        </w:rPr>
      </w:pPr>
    </w:p>
    <w:p w14:paraId="58CEABEC">
      <w:pPr>
        <w:contextualSpacing/>
        <w:rPr>
          <w:rFonts w:ascii="Arial" w:hAnsi="Arial" w:eastAsia="宋体" w:cs="Arial"/>
          <w:sz w:val="24"/>
        </w:rPr>
      </w:pPr>
    </w:p>
    <w:p w14:paraId="6920B38F">
      <w:pPr>
        <w:contextualSpacing/>
        <w:rPr>
          <w:rFonts w:ascii="Arial" w:hAnsi="Arial" w:eastAsia="宋体" w:cs="Arial"/>
          <w:sz w:val="24"/>
        </w:rPr>
      </w:pPr>
    </w:p>
    <w:p w14:paraId="44BB5DA1">
      <w:pPr>
        <w:contextualSpacing/>
        <w:rPr>
          <w:rFonts w:ascii="Arial" w:hAnsi="Arial" w:eastAsia="宋体" w:cs="Arial"/>
          <w:sz w:val="24"/>
        </w:rPr>
      </w:pPr>
    </w:p>
    <w:p w14:paraId="19E96CE8">
      <w:pPr>
        <w:contextualSpacing/>
        <w:rPr>
          <w:rFonts w:ascii="Arial" w:hAnsi="Arial" w:eastAsia="宋体" w:cs="Arial"/>
          <w:sz w:val="24"/>
        </w:rPr>
      </w:pPr>
    </w:p>
    <w:p w14:paraId="06069501">
      <w:pPr>
        <w:contextualSpacing/>
        <w:rPr>
          <w:rFonts w:ascii="Arial" w:hAnsi="Arial" w:eastAsia="宋体" w:cs="Arial"/>
          <w:sz w:val="24"/>
        </w:rPr>
      </w:pPr>
    </w:p>
    <w:p w14:paraId="1D5FFBAF">
      <w:pPr>
        <w:contextualSpacing/>
        <w:rPr>
          <w:rFonts w:ascii="Arial" w:hAnsi="Arial" w:eastAsia="宋体" w:cs="Arial"/>
          <w:sz w:val="24"/>
        </w:rPr>
      </w:pPr>
    </w:p>
    <w:p w14:paraId="28D0A3AF">
      <w:pPr>
        <w:contextualSpacing/>
        <w:rPr>
          <w:rFonts w:ascii="Arial" w:hAnsi="Arial" w:eastAsia="宋体" w:cs="Arial"/>
          <w:sz w:val="24"/>
        </w:rPr>
      </w:pPr>
    </w:p>
    <w:p w14:paraId="772278BD">
      <w:pPr>
        <w:contextualSpacing/>
        <w:rPr>
          <w:rFonts w:ascii="Arial" w:hAnsi="Arial" w:eastAsia="宋体" w:cs="Arial"/>
          <w:sz w:val="24"/>
        </w:rPr>
      </w:pPr>
    </w:p>
    <w:p w14:paraId="33154639">
      <w:pPr>
        <w:contextualSpacing/>
        <w:rPr>
          <w:rFonts w:ascii="Arial" w:hAnsi="Arial" w:eastAsia="宋体" w:cs="Arial"/>
          <w:sz w:val="24"/>
        </w:rPr>
      </w:pPr>
    </w:p>
    <w:p w14:paraId="1126D9BA">
      <w:pPr>
        <w:contextualSpacing/>
        <w:rPr>
          <w:rFonts w:ascii="Arial" w:hAnsi="Arial" w:eastAsia="宋体" w:cs="Arial"/>
          <w:sz w:val="24"/>
        </w:rPr>
      </w:pPr>
    </w:p>
    <w:p w14:paraId="429BB9B8">
      <w:pPr>
        <w:contextualSpacing/>
        <w:rPr>
          <w:rFonts w:ascii="Arial" w:hAnsi="Arial" w:eastAsia="宋体" w:cs="Arial"/>
          <w:sz w:val="24"/>
        </w:rPr>
      </w:pPr>
    </w:p>
    <w:p w14:paraId="3532873F">
      <w:pPr>
        <w:contextualSpacing/>
        <w:rPr>
          <w:rFonts w:ascii="Arial" w:hAnsi="Arial" w:eastAsia="宋体" w:cs="Arial"/>
          <w:sz w:val="24"/>
        </w:rPr>
      </w:pPr>
    </w:p>
    <w:p w14:paraId="12D75EC3">
      <w:pPr>
        <w:contextualSpacing/>
        <w:rPr>
          <w:rFonts w:ascii="Arial" w:hAnsi="Arial" w:eastAsia="宋体" w:cs="Arial"/>
          <w:sz w:val="24"/>
        </w:rPr>
      </w:pPr>
    </w:p>
    <w:p w14:paraId="653138F6">
      <w:pPr>
        <w:contextualSpacing/>
        <w:rPr>
          <w:rFonts w:ascii="Arial" w:hAnsi="Arial" w:eastAsia="宋体" w:cs="Arial"/>
          <w:sz w:val="24"/>
        </w:rPr>
      </w:pPr>
    </w:p>
    <w:p w14:paraId="6F1F152F">
      <w:pPr>
        <w:contextualSpacing/>
        <w:rPr>
          <w:rFonts w:ascii="Arial" w:hAnsi="Arial" w:eastAsia="宋体" w:cs="Arial"/>
          <w:sz w:val="24"/>
        </w:rPr>
      </w:pPr>
    </w:p>
    <w:p w14:paraId="63A47A18">
      <w:pPr>
        <w:contextualSpacing/>
        <w:rPr>
          <w:rFonts w:ascii="Arial" w:hAnsi="Arial" w:eastAsia="宋体" w:cs="Arial"/>
          <w:sz w:val="24"/>
        </w:rPr>
      </w:pPr>
    </w:p>
    <w:p w14:paraId="04B8B245">
      <w:pPr>
        <w:contextualSpacing/>
        <w:rPr>
          <w:rFonts w:ascii="Arial" w:hAnsi="Arial" w:eastAsia="宋体" w:cs="Arial"/>
          <w:sz w:val="24"/>
        </w:rPr>
      </w:pPr>
    </w:p>
    <w:p w14:paraId="2A76FCE1">
      <w:pPr>
        <w:contextualSpacing/>
        <w:rPr>
          <w:rFonts w:ascii="Arial" w:hAnsi="Arial" w:eastAsia="宋体" w:cs="Arial"/>
          <w:sz w:val="24"/>
        </w:rPr>
      </w:pPr>
    </w:p>
    <w:p w14:paraId="33DE941D">
      <w:pPr>
        <w:contextualSpacing/>
        <w:rPr>
          <w:rFonts w:ascii="Arial" w:hAnsi="Arial" w:eastAsia="宋体" w:cs="Arial"/>
          <w:sz w:val="24"/>
        </w:rPr>
      </w:pPr>
    </w:p>
    <w:p w14:paraId="2F2F463E">
      <w:pPr>
        <w:contextualSpacing/>
        <w:rPr>
          <w:rFonts w:ascii="Arial" w:hAnsi="Arial" w:eastAsia="宋体" w:cs="Arial"/>
          <w:sz w:val="24"/>
        </w:rPr>
      </w:pPr>
    </w:p>
    <w:p w14:paraId="04AF6436">
      <w:pPr>
        <w:contextualSpacing/>
        <w:rPr>
          <w:rFonts w:ascii="Arial" w:hAnsi="Arial" w:eastAsia="宋体" w:cs="Arial"/>
          <w:sz w:val="24"/>
        </w:rPr>
      </w:pPr>
    </w:p>
    <w:p w14:paraId="4B2996FF">
      <w:pPr>
        <w:contextualSpacing/>
        <w:rPr>
          <w:rFonts w:ascii="Arial" w:hAnsi="Arial" w:eastAsia="宋体" w:cs="Arial"/>
          <w:sz w:val="24"/>
        </w:rPr>
      </w:pPr>
    </w:p>
    <w:p w14:paraId="49B3A3A4">
      <w:pPr>
        <w:contextualSpacing/>
        <w:rPr>
          <w:rFonts w:ascii="Arial" w:hAnsi="Arial" w:eastAsia="宋体" w:cs="Arial"/>
          <w:sz w:val="24"/>
        </w:rPr>
      </w:pPr>
    </w:p>
    <w:p w14:paraId="1AD483B9">
      <w:pPr>
        <w:spacing w:before="156" w:beforeLines="50" w:line="360" w:lineRule="auto"/>
        <w:contextualSpacing/>
        <w:jc w:val="center"/>
        <w:rPr>
          <w:rFonts w:ascii="黑体" w:hAnsi="黑体" w:eastAsia="黑体" w:cs="Arial"/>
          <w:sz w:val="32"/>
          <w:szCs w:val="32"/>
        </w:rPr>
      </w:pPr>
      <w:r>
        <w:rPr>
          <w:rFonts w:ascii="黑体" w:hAnsi="黑体" w:eastAsia="黑体" w:cs="Arial"/>
          <w:sz w:val="32"/>
          <w:szCs w:val="32"/>
        </w:rPr>
        <w:t>一例横纹肌肉瘤</w:t>
      </w:r>
      <w:r>
        <w:rPr>
          <w:rFonts w:hint="eastAsia" w:ascii="黑体" w:hAnsi="黑体" w:eastAsia="黑体" w:cs="Arial"/>
          <w:sz w:val="32"/>
          <w:szCs w:val="32"/>
        </w:rPr>
        <w:t>伴</w:t>
      </w:r>
      <w:r>
        <w:rPr>
          <w:rFonts w:ascii="黑体" w:hAnsi="黑体" w:eastAsia="黑体" w:cs="Arial"/>
          <w:sz w:val="32"/>
          <w:szCs w:val="32"/>
        </w:rPr>
        <w:t>高位</w:t>
      </w:r>
      <w:r>
        <w:rPr>
          <w:rFonts w:hint="eastAsia" w:ascii="黑体" w:hAnsi="黑体" w:eastAsia="黑体" w:cs="Arial"/>
          <w:sz w:val="32"/>
          <w:szCs w:val="32"/>
        </w:rPr>
        <w:t>巨</w:t>
      </w:r>
      <w:r>
        <w:rPr>
          <w:rFonts w:ascii="黑体" w:hAnsi="黑体" w:eastAsia="黑体" w:cs="Arial"/>
          <w:sz w:val="32"/>
          <w:szCs w:val="32"/>
        </w:rPr>
        <w:t>大</w:t>
      </w:r>
      <w:r>
        <w:rPr>
          <w:rFonts w:hint="eastAsia" w:ascii="黑体" w:hAnsi="黑体" w:eastAsia="黑体" w:cs="Arial"/>
          <w:sz w:val="32"/>
          <w:szCs w:val="32"/>
        </w:rPr>
        <w:t>淋巴结</w:t>
      </w:r>
      <w:r>
        <w:rPr>
          <w:rFonts w:ascii="黑体" w:hAnsi="黑体" w:eastAsia="黑体" w:cs="Arial"/>
          <w:sz w:val="32"/>
          <w:szCs w:val="32"/>
        </w:rPr>
        <w:t>转移癌</w:t>
      </w:r>
      <w:r>
        <w:rPr>
          <w:rFonts w:hint="eastAsia" w:ascii="黑体" w:hAnsi="黑体" w:eastAsia="黑体" w:cs="Arial"/>
          <w:sz w:val="32"/>
          <w:szCs w:val="32"/>
        </w:rPr>
        <w:t>病案</w:t>
      </w:r>
      <w:r>
        <w:rPr>
          <w:rFonts w:ascii="黑体" w:hAnsi="黑体" w:eastAsia="黑体" w:cs="Arial"/>
          <w:sz w:val="32"/>
          <w:szCs w:val="32"/>
        </w:rPr>
        <w:t>报告</w:t>
      </w:r>
    </w:p>
    <w:p w14:paraId="4A4404ED">
      <w:pPr>
        <w:spacing w:before="156" w:beforeLines="50" w:line="360" w:lineRule="auto"/>
        <w:contextualSpacing/>
        <w:rPr>
          <w:rFonts w:ascii="Arial" w:hAnsi="Arial" w:eastAsia="宋体" w:cs="Arial"/>
          <w:sz w:val="24"/>
        </w:rPr>
      </w:pPr>
    </w:p>
    <w:p w14:paraId="77A774AD">
      <w:pPr>
        <w:spacing w:before="156" w:beforeLines="50" w:line="360" w:lineRule="auto"/>
        <w:contextualSpacing/>
        <w:rPr>
          <w:rFonts w:ascii="Arial" w:hAnsi="Arial" w:eastAsia="宋体" w:cs="Arial"/>
          <w:sz w:val="24"/>
        </w:rPr>
      </w:pPr>
      <w:r>
        <w:rPr>
          <w:rFonts w:ascii="Arial" w:hAnsi="Arial" w:eastAsia="宋体" w:cs="Arial"/>
          <w:b/>
          <w:bCs/>
          <w:sz w:val="24"/>
        </w:rPr>
        <w:t>申报人：</w:t>
      </w:r>
      <w:r>
        <w:rPr>
          <w:rFonts w:ascii="Arial" w:hAnsi="Arial" w:eastAsia="宋体" w:cs="Arial"/>
          <w:sz w:val="24"/>
        </w:rPr>
        <w:t xml:space="preserve"> *</w:t>
      </w:r>
      <w:r>
        <w:rPr>
          <w:rFonts w:hint="eastAsia" w:ascii="Arial" w:hAnsi="Arial" w:eastAsia="宋体" w:cs="Arial"/>
          <w:sz w:val="24"/>
        </w:rPr>
        <w:t>*</w:t>
      </w:r>
      <w:r>
        <w:rPr>
          <w:rFonts w:ascii="Arial" w:hAnsi="Arial" w:eastAsia="宋体" w:cs="Arial"/>
          <w:sz w:val="24"/>
        </w:rPr>
        <w:t>*</w:t>
      </w:r>
    </w:p>
    <w:p w14:paraId="35B6D098">
      <w:pPr>
        <w:spacing w:before="156" w:beforeLines="50" w:line="360" w:lineRule="auto"/>
        <w:contextualSpacing/>
        <w:rPr>
          <w:rFonts w:ascii="Arial" w:hAnsi="Arial" w:eastAsia="宋体" w:cs="Arial"/>
          <w:sz w:val="24"/>
        </w:rPr>
      </w:pPr>
      <w:r>
        <w:rPr>
          <w:rFonts w:ascii="Arial" w:hAnsi="Arial" w:eastAsia="宋体" w:cs="Arial"/>
          <w:b/>
          <w:bCs/>
          <w:sz w:val="24"/>
        </w:rPr>
        <w:t>单</w:t>
      </w:r>
      <w:r>
        <w:rPr>
          <w:rFonts w:hint="eastAsia" w:ascii="Arial" w:hAnsi="Arial" w:eastAsia="宋体" w:cs="Arial"/>
          <w:b/>
          <w:bCs/>
          <w:sz w:val="24"/>
        </w:rPr>
        <w:t xml:space="preserve"> </w:t>
      </w:r>
      <w:r>
        <w:rPr>
          <w:rFonts w:ascii="Arial" w:hAnsi="Arial" w:eastAsia="宋体" w:cs="Arial"/>
          <w:b/>
          <w:bCs/>
          <w:sz w:val="24"/>
        </w:rPr>
        <w:t xml:space="preserve"> 位：</w:t>
      </w:r>
      <w:r>
        <w:rPr>
          <w:rFonts w:hint="eastAsia" w:ascii="Arial" w:hAnsi="Arial" w:eastAsia="宋体" w:cs="Arial"/>
          <w:sz w:val="24"/>
        </w:rPr>
        <w:t xml:space="preserve"> </w:t>
      </w:r>
      <w:r>
        <w:rPr>
          <w:rFonts w:ascii="Arial" w:hAnsi="Arial" w:eastAsia="宋体" w:cs="Arial"/>
          <w:sz w:val="24"/>
        </w:rPr>
        <w:t>***医院，耳鼻咽喉科</w:t>
      </w:r>
    </w:p>
    <w:p w14:paraId="433DD422">
      <w:pPr>
        <w:spacing w:before="156" w:beforeLines="50" w:line="360" w:lineRule="auto"/>
        <w:contextualSpacing/>
        <w:rPr>
          <w:rFonts w:ascii="Arial" w:hAnsi="Arial" w:eastAsia="宋体" w:cs="Arial"/>
          <w:sz w:val="24"/>
        </w:rPr>
      </w:pPr>
      <w:r>
        <w:rPr>
          <w:rFonts w:ascii="Arial" w:hAnsi="Arial" w:eastAsia="宋体" w:cs="Arial"/>
          <w:b/>
          <w:bCs/>
          <w:sz w:val="24"/>
        </w:rPr>
        <w:t>目前职称：</w:t>
      </w:r>
      <w:r>
        <w:rPr>
          <w:rFonts w:ascii="Arial" w:hAnsi="Arial" w:eastAsia="宋体" w:cs="Arial"/>
          <w:sz w:val="24"/>
        </w:rPr>
        <w:t>主治医师</w:t>
      </w:r>
    </w:p>
    <w:p w14:paraId="7B856FEA">
      <w:pPr>
        <w:spacing w:before="156" w:beforeLines="50" w:line="360" w:lineRule="auto"/>
        <w:contextualSpacing/>
        <w:rPr>
          <w:rFonts w:ascii="Arial" w:hAnsi="Arial" w:eastAsia="宋体" w:cs="Arial"/>
          <w:sz w:val="24"/>
        </w:rPr>
      </w:pPr>
      <w:r>
        <w:rPr>
          <w:rFonts w:ascii="Arial" w:hAnsi="Arial" w:eastAsia="宋体" w:cs="Arial"/>
          <w:b/>
          <w:bCs/>
          <w:sz w:val="24"/>
        </w:rPr>
        <w:t>拟申请职称：</w:t>
      </w:r>
      <w:r>
        <w:rPr>
          <w:rFonts w:ascii="Arial" w:hAnsi="Arial" w:eastAsia="宋体" w:cs="Arial"/>
          <w:sz w:val="24"/>
        </w:rPr>
        <w:t>副主任医师</w:t>
      </w:r>
    </w:p>
    <w:p w14:paraId="15123C60">
      <w:pPr>
        <w:spacing w:before="156" w:beforeLines="50" w:line="360" w:lineRule="auto"/>
        <w:contextualSpacing/>
        <w:rPr>
          <w:rFonts w:ascii="Arial" w:hAnsi="Arial" w:eastAsia="宋体" w:cs="Arial"/>
          <w:sz w:val="24"/>
        </w:rPr>
      </w:pPr>
      <w:r>
        <w:rPr>
          <w:rFonts w:ascii="Arial" w:hAnsi="Arial" w:eastAsia="宋体" w:cs="Arial"/>
          <w:b/>
          <w:bCs/>
          <w:sz w:val="24"/>
        </w:rPr>
        <w:t>拟申请专业</w:t>
      </w:r>
      <w:r>
        <w:rPr>
          <w:rFonts w:ascii="Arial" w:hAnsi="Arial" w:eastAsia="宋体" w:cs="Arial"/>
          <w:sz w:val="24"/>
        </w:rPr>
        <w:t>：耳鼻咽喉科学</w:t>
      </w:r>
    </w:p>
    <w:p w14:paraId="053CC10C">
      <w:pPr>
        <w:spacing w:before="156" w:beforeLines="50" w:line="360" w:lineRule="auto"/>
        <w:ind w:firstLine="480"/>
        <w:contextualSpacing/>
        <w:rPr>
          <w:rFonts w:ascii="Arial" w:hAnsi="Arial" w:eastAsia="宋体" w:cs="Arial"/>
          <w:sz w:val="24"/>
        </w:rPr>
      </w:pPr>
    </w:p>
    <w:p w14:paraId="0E3B8733">
      <w:pPr>
        <w:spacing w:line="360" w:lineRule="auto"/>
        <w:ind w:firstLine="482"/>
        <w:contextualSpacing/>
        <w:rPr>
          <w:rFonts w:ascii="Arial" w:hAnsi="Arial" w:eastAsia="宋体" w:cs="Arial"/>
          <w:sz w:val="24"/>
        </w:rPr>
      </w:pPr>
      <w:r>
        <w:rPr>
          <w:rFonts w:ascii="Arial" w:hAnsi="Arial" w:eastAsia="宋体" w:cs="Arial"/>
          <w:sz w:val="24"/>
        </w:rPr>
        <w:t>鼻腔鼻窦横纹肌肉瘤为罕见病例，且容易早期出现淋巴结转移</w:t>
      </w:r>
      <w:r>
        <w:rPr>
          <w:rFonts w:hint="eastAsia" w:ascii="Arial" w:hAnsi="Arial" w:eastAsia="宋体" w:cs="Arial"/>
          <w:sz w:val="24"/>
          <w:vertAlign w:val="superscript"/>
        </w:rPr>
        <w:t>[1]</w:t>
      </w:r>
      <w:r>
        <w:rPr>
          <w:rFonts w:ascii="Arial" w:hAnsi="Arial" w:eastAsia="宋体" w:cs="Arial"/>
          <w:sz w:val="24"/>
        </w:rPr>
        <w:t>，彻底清除病变及淋巴结清扫是主要治疗方式</w:t>
      </w:r>
      <w:r>
        <w:rPr>
          <w:rFonts w:hint="eastAsia" w:ascii="Arial" w:hAnsi="Arial" w:eastAsia="宋体" w:cs="Arial"/>
          <w:sz w:val="24"/>
          <w:vertAlign w:val="superscript"/>
        </w:rPr>
        <w:t>[2]</w:t>
      </w:r>
      <w:r>
        <w:rPr>
          <w:rFonts w:ascii="Arial" w:hAnsi="Arial" w:eastAsia="宋体" w:cs="Arial"/>
          <w:sz w:val="24"/>
        </w:rPr>
        <w:t>。该患者经化疗治疗后，原发灶消退良好，但淋巴结无明显变小，手术的根治性彻底切除是至关重要的。此患者较大转移淋巴结位于左侧II区，直径</w:t>
      </w:r>
      <w:r>
        <w:rPr>
          <w:rFonts w:hint="eastAsia" w:ascii="Arial" w:hAnsi="Arial" w:eastAsia="宋体" w:cs="Arial"/>
          <w:sz w:val="24"/>
        </w:rPr>
        <w:t>约</w:t>
      </w:r>
      <w:r>
        <w:rPr>
          <w:rFonts w:ascii="Arial" w:hAnsi="Arial" w:eastAsia="宋体" w:cs="Arial"/>
          <w:sz w:val="24"/>
        </w:rPr>
        <w:t>6cm，为N3转移淋巴结，并且向上累及咽旁间隙，且与颈内静脉及颈总动脉等大血管均</w:t>
      </w:r>
      <w:r>
        <w:rPr>
          <w:rFonts w:hint="eastAsia" w:ascii="Arial" w:hAnsi="Arial" w:eastAsia="宋体" w:cs="Arial"/>
          <w:sz w:val="24"/>
        </w:rPr>
        <w:t>黏连</w:t>
      </w:r>
      <w:r>
        <w:rPr>
          <w:rFonts w:ascii="Arial" w:hAnsi="Arial" w:eastAsia="宋体" w:cs="Arial"/>
          <w:sz w:val="24"/>
        </w:rPr>
        <w:t>，彻底切除手术难度很高，侧颈淋巴结完整的整体切除难度更高。</w:t>
      </w:r>
    </w:p>
    <w:p w14:paraId="5CE912D2">
      <w:pPr>
        <w:spacing w:before="156" w:beforeLines="50" w:line="360" w:lineRule="auto"/>
        <w:contextualSpacing/>
        <w:rPr>
          <w:rFonts w:ascii="Arial" w:hAnsi="Arial" w:cs="Arial"/>
          <w:b/>
          <w:bCs/>
          <w:sz w:val="24"/>
        </w:rPr>
      </w:pPr>
    </w:p>
    <w:p w14:paraId="62EE2B21">
      <w:pPr>
        <w:spacing w:before="156" w:beforeLines="50" w:line="360" w:lineRule="auto"/>
        <w:contextualSpacing/>
        <w:rPr>
          <w:rFonts w:ascii="Arial" w:hAnsi="Arial" w:cs="Arial"/>
          <w:b/>
          <w:bCs/>
          <w:sz w:val="24"/>
        </w:rPr>
      </w:pPr>
      <w:r>
        <w:rPr>
          <w:rFonts w:hint="eastAsia" w:ascii="Arial" w:hAnsi="Arial" w:cs="Arial"/>
          <w:b/>
          <w:bCs/>
          <w:sz w:val="24"/>
        </w:rPr>
        <w:t>1</w:t>
      </w:r>
      <w:r>
        <w:rPr>
          <w:rFonts w:ascii="Arial" w:hAnsi="Arial" w:cs="Arial"/>
          <w:b/>
          <w:bCs/>
          <w:sz w:val="24"/>
        </w:rPr>
        <w:t>. 病例资料</w:t>
      </w:r>
    </w:p>
    <w:p w14:paraId="6D53318B">
      <w:pPr>
        <w:pStyle w:val="14"/>
        <w:spacing w:line="360" w:lineRule="auto"/>
        <w:ind w:firstLine="0" w:firstLineChars="0"/>
        <w:rPr>
          <w:rFonts w:ascii="Arial" w:hAnsi="Arial" w:eastAsia="宋体" w:cs="Arial"/>
          <w:sz w:val="24"/>
        </w:rPr>
      </w:pPr>
      <w:r>
        <w:rPr>
          <w:rFonts w:ascii="Arial" w:hAnsi="Arial" w:eastAsia="宋体" w:cs="Arial"/>
          <w:sz w:val="24"/>
        </w:rPr>
        <w:t>1.1患者信息及病史</w:t>
      </w:r>
    </w:p>
    <w:p w14:paraId="78DF92D5">
      <w:pPr>
        <w:pStyle w:val="14"/>
        <w:spacing w:line="360" w:lineRule="auto"/>
        <w:ind w:firstLine="398" w:firstLineChars="166"/>
        <w:rPr>
          <w:rFonts w:ascii="Arial" w:hAnsi="Arial" w:eastAsia="宋体" w:cs="Arial"/>
          <w:sz w:val="24"/>
        </w:rPr>
      </w:pPr>
      <w:r>
        <w:rPr>
          <w:rFonts w:ascii="Arial" w:hAnsi="Arial" w:eastAsia="宋体" w:cs="Arial"/>
          <w:sz w:val="24"/>
        </w:rPr>
        <w:t>患者</w:t>
      </w:r>
      <w:r>
        <w:rPr>
          <w:rFonts w:hint="eastAsia" w:ascii="Arial" w:hAnsi="Arial" w:eastAsia="宋体" w:cs="Arial"/>
          <w:sz w:val="24"/>
        </w:rPr>
        <w:t>*</w:t>
      </w:r>
      <w:r>
        <w:rPr>
          <w:rFonts w:ascii="Arial" w:hAnsi="Arial" w:eastAsia="宋体" w:cs="Arial"/>
          <w:sz w:val="24"/>
        </w:rPr>
        <w:t>*某，女，**岁，住院号：******</w:t>
      </w:r>
    </w:p>
    <w:p w14:paraId="167D5125">
      <w:pPr>
        <w:pStyle w:val="14"/>
        <w:spacing w:line="360" w:lineRule="auto"/>
        <w:ind w:firstLine="398" w:firstLineChars="166"/>
        <w:rPr>
          <w:rFonts w:ascii="Arial" w:hAnsi="Arial" w:eastAsia="宋体" w:cs="Arial"/>
          <w:sz w:val="24"/>
        </w:rPr>
      </w:pPr>
      <w:r>
        <w:rPr>
          <w:rFonts w:ascii="Arial" w:hAnsi="Arial" w:eastAsia="宋体" w:cs="Arial"/>
          <w:sz w:val="24"/>
        </w:rPr>
        <w:t>入院时间：20**年*月*日</w:t>
      </w:r>
    </w:p>
    <w:p w14:paraId="0AD617B9">
      <w:pPr>
        <w:pStyle w:val="14"/>
        <w:spacing w:line="360" w:lineRule="auto"/>
        <w:ind w:firstLine="398" w:firstLineChars="166"/>
        <w:rPr>
          <w:rFonts w:ascii="Arial" w:hAnsi="Arial" w:eastAsia="宋体" w:cs="Arial"/>
          <w:sz w:val="24"/>
        </w:rPr>
      </w:pPr>
      <w:r>
        <w:rPr>
          <w:rFonts w:ascii="Arial" w:hAnsi="Arial" w:eastAsia="宋体" w:cs="Arial"/>
          <w:sz w:val="24"/>
        </w:rPr>
        <w:t>主诉：左筛窦横纹肌肉瘤术后7月，8周期化疗后</w:t>
      </w:r>
    </w:p>
    <w:p w14:paraId="22E1439F">
      <w:pPr>
        <w:pStyle w:val="14"/>
        <w:spacing w:line="360" w:lineRule="auto"/>
        <w:ind w:firstLine="398" w:firstLineChars="166"/>
        <w:rPr>
          <w:rFonts w:ascii="Arial" w:hAnsi="Arial" w:eastAsia="宋体" w:cs="Arial"/>
          <w:sz w:val="24"/>
        </w:rPr>
      </w:pPr>
      <w:r>
        <w:rPr>
          <w:rFonts w:ascii="Arial" w:hAnsi="Arial" w:eastAsia="宋体" w:cs="Arial"/>
          <w:sz w:val="24"/>
        </w:rPr>
        <w:t>现病史：患者7月前无明显诱因出现左侧持续性鼻堵，伴间断头疼，左侧鼻出血，间断性，量少，数分钟自止，伴嗅觉消失。于20**年11月10日外院行全麻下鼻内镜下左侧筛窦开放+鼻腔鼻窦肿物切除术，术后病理：横纹肌肉瘤（腺泡型），术后患者症状无明显好转，并发现左颈部包块，渐大。于我院就诊行诱导化疗治疗8周期，鼻部症状明显好转，颈部包块未见明显变化，为进一步诊治就诊我科。</w:t>
      </w:r>
    </w:p>
    <w:p w14:paraId="57AAD992">
      <w:pPr>
        <w:pStyle w:val="14"/>
        <w:spacing w:line="360" w:lineRule="auto"/>
        <w:ind w:firstLine="398" w:firstLineChars="166"/>
        <w:rPr>
          <w:rFonts w:ascii="Arial" w:hAnsi="Arial" w:eastAsia="宋体" w:cs="Arial"/>
          <w:sz w:val="24"/>
        </w:rPr>
      </w:pPr>
      <w:r>
        <w:rPr>
          <w:rFonts w:ascii="Arial" w:hAnsi="Arial" w:eastAsia="宋体" w:cs="Arial"/>
          <w:sz w:val="24"/>
        </w:rPr>
        <w:t>既往史：体健，否认家族史及遗传病史，无流行病学史</w:t>
      </w:r>
      <w:r>
        <w:rPr>
          <w:rFonts w:hint="eastAsia" w:ascii="Arial" w:hAnsi="Arial" w:eastAsia="宋体" w:cs="Arial"/>
          <w:sz w:val="24"/>
        </w:rPr>
        <w:t>。</w:t>
      </w:r>
    </w:p>
    <w:p w14:paraId="134A0C85">
      <w:pPr>
        <w:spacing w:line="360" w:lineRule="auto"/>
        <w:rPr>
          <w:rFonts w:ascii="Arial" w:hAnsi="Arial" w:eastAsia="宋体" w:cs="Arial"/>
          <w:sz w:val="24"/>
        </w:rPr>
      </w:pPr>
      <w:r>
        <w:rPr>
          <w:rFonts w:ascii="Arial" w:hAnsi="Arial" w:eastAsia="宋体" w:cs="Arial"/>
          <w:sz w:val="24"/>
        </w:rPr>
        <w:t>1.2体格检查</w:t>
      </w:r>
    </w:p>
    <w:p w14:paraId="386B7C6B">
      <w:pPr>
        <w:spacing w:line="360" w:lineRule="auto"/>
        <w:ind w:firstLine="424" w:firstLineChars="177"/>
        <w:rPr>
          <w:rFonts w:ascii="Arial" w:hAnsi="Arial" w:eastAsia="宋体" w:cs="Arial"/>
          <w:sz w:val="24"/>
        </w:rPr>
      </w:pPr>
      <w:r>
        <w:rPr>
          <w:rFonts w:hint="eastAsia" w:ascii="Arial" w:hAnsi="Arial" w:eastAsia="宋体" w:cs="Arial"/>
          <w:sz w:val="24"/>
        </w:rPr>
        <w:t>体温</w:t>
      </w:r>
      <w:r>
        <w:rPr>
          <w:rFonts w:ascii="Arial" w:hAnsi="Arial" w:eastAsia="宋体" w:cs="Arial"/>
          <w:sz w:val="24"/>
        </w:rPr>
        <w:t>36.9</w:t>
      </w:r>
      <w:r>
        <w:rPr>
          <w:rFonts w:hint="eastAsia" w:ascii="宋体" w:hAnsi="宋体" w:eastAsia="宋体" w:cs="Arial"/>
          <w:sz w:val="24"/>
        </w:rPr>
        <w:t>℃</w:t>
      </w:r>
      <w:r>
        <w:rPr>
          <w:rFonts w:ascii="Arial" w:hAnsi="Arial" w:eastAsia="宋体" w:cs="Arial"/>
          <w:sz w:val="24"/>
        </w:rPr>
        <w:t>，</w:t>
      </w:r>
      <w:r>
        <w:rPr>
          <w:rFonts w:hint="eastAsia" w:ascii="Arial" w:hAnsi="Arial" w:eastAsia="宋体" w:cs="Arial"/>
          <w:sz w:val="24"/>
        </w:rPr>
        <w:t>呼吸</w:t>
      </w:r>
      <w:r>
        <w:rPr>
          <w:rFonts w:ascii="Arial" w:hAnsi="Arial" w:eastAsia="宋体" w:cs="Arial"/>
          <w:sz w:val="24"/>
        </w:rPr>
        <w:t>20次</w:t>
      </w:r>
      <w:r>
        <w:rPr>
          <w:rFonts w:hint="eastAsia" w:ascii="Arial" w:hAnsi="Arial" w:eastAsia="宋体" w:cs="Arial"/>
          <w:sz w:val="24"/>
        </w:rPr>
        <w:t>/分，心率8</w:t>
      </w:r>
      <w:r>
        <w:rPr>
          <w:rFonts w:ascii="Arial" w:hAnsi="Arial" w:eastAsia="宋体" w:cs="Arial"/>
          <w:sz w:val="24"/>
        </w:rPr>
        <w:t>8次</w:t>
      </w:r>
      <w:r>
        <w:rPr>
          <w:rFonts w:hint="eastAsia" w:ascii="Arial" w:hAnsi="Arial" w:eastAsia="宋体" w:cs="Arial"/>
          <w:sz w:val="24"/>
        </w:rPr>
        <w:t>/分，左上肢血压11</w:t>
      </w:r>
      <w:r>
        <w:rPr>
          <w:rFonts w:ascii="Arial" w:hAnsi="Arial" w:eastAsia="宋体" w:cs="Arial"/>
          <w:sz w:val="24"/>
        </w:rPr>
        <w:t>0</w:t>
      </w:r>
      <w:r>
        <w:rPr>
          <w:rFonts w:hint="eastAsia" w:ascii="Arial" w:hAnsi="Arial" w:eastAsia="宋体" w:cs="Arial"/>
          <w:sz w:val="24"/>
        </w:rPr>
        <w:t>/8</w:t>
      </w:r>
      <w:r>
        <w:rPr>
          <w:rFonts w:ascii="Arial" w:hAnsi="Arial" w:eastAsia="宋体" w:cs="Arial"/>
          <w:sz w:val="24"/>
        </w:rPr>
        <w:t>0</w:t>
      </w:r>
      <w:r>
        <w:rPr>
          <w:rFonts w:hint="eastAsia" w:ascii="Arial" w:hAnsi="Arial" w:eastAsia="宋体" w:cs="Arial"/>
          <w:sz w:val="24"/>
        </w:rPr>
        <w:t>mmHg。</w:t>
      </w:r>
      <w:r>
        <w:rPr>
          <w:rFonts w:ascii="Arial" w:hAnsi="Arial" w:eastAsia="宋体" w:cs="Arial"/>
          <w:sz w:val="24"/>
        </w:rPr>
        <w:t>左上颈部下颌角区可触及质硬结节，直径约6cm，上至下颌骨内侧，活动度欠佳。鼻腔通畅，鼻腔内未见明显新生物及异常分泌物。双侧眼球对称，无突出，眼球活动自如。</w:t>
      </w:r>
      <w:r>
        <w:rPr>
          <w:rFonts w:hint="eastAsia" w:ascii="Arial" w:hAnsi="Arial" w:eastAsia="宋体" w:cs="Arial"/>
          <w:sz w:val="24"/>
        </w:rPr>
        <w:t>双肺呼吸音清，未闻及干湿啰音，心</w:t>
      </w:r>
      <w:r>
        <w:rPr>
          <w:rFonts w:ascii="Arial" w:hAnsi="Arial" w:eastAsia="宋体" w:cs="Arial"/>
          <w:sz w:val="24"/>
        </w:rPr>
        <w:t>律齐。腹软，无压痛，肝脾肋下未及。</w:t>
      </w:r>
    </w:p>
    <w:p w14:paraId="5CDD08A4">
      <w:pPr>
        <w:spacing w:line="360" w:lineRule="auto"/>
        <w:rPr>
          <w:rFonts w:ascii="Arial" w:hAnsi="Arial" w:eastAsia="宋体" w:cs="Arial"/>
          <w:sz w:val="24"/>
        </w:rPr>
      </w:pPr>
      <w:r>
        <w:rPr>
          <w:rFonts w:ascii="Arial" w:hAnsi="Arial" w:eastAsia="宋体" w:cs="Arial"/>
          <w:sz w:val="24"/>
        </w:rPr>
        <w:t>1.3 辅助检查</w:t>
      </w:r>
    </w:p>
    <w:p w14:paraId="7C3D080A">
      <w:pPr>
        <w:spacing w:before="156" w:beforeLines="50" w:after="100" w:afterAutospacing="1" w:line="360" w:lineRule="auto"/>
        <w:ind w:firstLine="480"/>
        <w:contextualSpacing/>
        <w:rPr>
          <w:rFonts w:ascii="Arial" w:hAnsi="Arial" w:eastAsia="宋体" w:cs="Arial"/>
          <w:sz w:val="24"/>
        </w:rPr>
      </w:pPr>
      <w:r>
        <w:rPr>
          <w:rFonts w:ascii="Arial" w:hAnsi="Arial" w:eastAsia="宋体" w:cs="Arial"/>
          <w:sz w:val="24"/>
        </w:rPr>
        <w:t>PETCT（20**-12-8）：鼻术后左侧筛窦残腔，上颌窦口软组织影，累及左眼眶肌椎外间隙，考虑转移可能性大。</w:t>
      </w:r>
    </w:p>
    <w:p w14:paraId="438A3A24">
      <w:pPr>
        <w:spacing w:before="156" w:beforeLines="50" w:after="100" w:afterAutospacing="1" w:line="360" w:lineRule="auto"/>
        <w:ind w:firstLine="480" w:firstLineChars="200"/>
        <w:contextualSpacing/>
        <w:rPr>
          <w:rFonts w:ascii="Arial" w:hAnsi="Arial" w:eastAsia="宋体" w:cs="Arial"/>
          <w:sz w:val="24"/>
        </w:rPr>
      </w:pPr>
      <w:r>
        <w:rPr>
          <w:rFonts w:ascii="Arial" w:hAnsi="Arial" w:eastAsia="宋体" w:cs="Arial"/>
          <w:sz w:val="24"/>
        </w:rPr>
        <w:t>化疗前（20**-12-20）后（20**-6-4）核磁比较：左侧筛窦区病变明显缩小，颈部淋巴结无明显变化（图1、2）。</w:t>
      </w:r>
    </w:p>
    <w:p w14:paraId="15CA8273">
      <w:pPr>
        <w:spacing w:before="156" w:beforeLines="50" w:after="100" w:afterAutospacing="1" w:line="360" w:lineRule="auto"/>
        <w:contextualSpacing/>
        <w:jc w:val="center"/>
        <w:rPr>
          <w:rFonts w:ascii="Arial" w:hAnsi="Arial" w:eastAsia="宋体" w:cs="Arial"/>
          <w:sz w:val="24"/>
        </w:rPr>
      </w:pPr>
      <w:r>
        <w:rPr>
          <w:rFonts w:ascii="Arial" w:hAnsi="Arial" w:eastAsia="宋体" w:cs="Arial"/>
          <w:sz w:val="24"/>
        </w:rPr>
        <w:drawing>
          <wp:inline distT="0" distB="0" distL="0" distR="0">
            <wp:extent cx="4517390" cy="1701165"/>
            <wp:effectExtent l="0" t="0" r="0" b="0"/>
            <wp:docPr id="130915630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156308" name="图片 2"/>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4604405" cy="1734345"/>
                    </a:xfrm>
                    <a:prstGeom prst="rect">
                      <a:avLst/>
                    </a:prstGeom>
                  </pic:spPr>
                </pic:pic>
              </a:graphicData>
            </a:graphic>
          </wp:inline>
        </w:drawing>
      </w:r>
    </w:p>
    <w:p w14:paraId="07B084CB">
      <w:pPr>
        <w:spacing w:after="100" w:afterAutospacing="1" w:line="360" w:lineRule="auto"/>
        <w:ind w:firstLine="630"/>
        <w:contextualSpacing/>
        <w:rPr>
          <w:rFonts w:ascii="Arial" w:hAnsi="Arial" w:eastAsia="宋体" w:cs="Arial"/>
          <w:sz w:val="24"/>
        </w:rPr>
      </w:pPr>
      <w:r>
        <w:rPr>
          <w:rFonts w:ascii="Arial" w:hAnsi="Arial" w:eastAsia="宋体" w:cs="Arial"/>
          <w:szCs w:val="21"/>
        </w:rPr>
        <w:t>图1：化疗前（20**-12-20）后（20**-6-4）核磁比较：左侧筛窦区病变明显缩小</w:t>
      </w:r>
    </w:p>
    <w:p w14:paraId="5C74A7C5">
      <w:pPr>
        <w:spacing w:before="156" w:beforeLines="50" w:after="100" w:afterAutospacing="1" w:line="360" w:lineRule="auto"/>
        <w:contextualSpacing/>
        <w:jc w:val="center"/>
        <w:rPr>
          <w:rFonts w:ascii="Arial" w:hAnsi="Arial" w:eastAsia="宋体" w:cs="Arial"/>
          <w:sz w:val="24"/>
        </w:rPr>
      </w:pPr>
      <w:r>
        <w:rPr>
          <w:rFonts w:ascii="Arial" w:hAnsi="Arial" w:eastAsia="宋体" w:cs="Arial"/>
          <w:sz w:val="24"/>
        </w:rPr>
        <w:drawing>
          <wp:inline distT="0" distB="0" distL="0" distR="0">
            <wp:extent cx="4594225" cy="1682750"/>
            <wp:effectExtent l="0" t="0" r="0" b="0"/>
            <wp:docPr id="3697503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750332" name="图片 4"/>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4665953" cy="1709249"/>
                    </a:xfrm>
                    <a:prstGeom prst="rect">
                      <a:avLst/>
                    </a:prstGeom>
                  </pic:spPr>
                </pic:pic>
              </a:graphicData>
            </a:graphic>
          </wp:inline>
        </w:drawing>
      </w:r>
    </w:p>
    <w:p w14:paraId="1A0A54E4">
      <w:pPr>
        <w:spacing w:after="100" w:afterAutospacing="1" w:line="360" w:lineRule="auto"/>
        <w:ind w:firstLine="630"/>
        <w:contextualSpacing/>
        <w:rPr>
          <w:rFonts w:ascii="Arial" w:hAnsi="Arial" w:eastAsia="宋体" w:cs="Arial"/>
          <w:szCs w:val="21"/>
        </w:rPr>
      </w:pPr>
      <w:r>
        <w:rPr>
          <w:rFonts w:ascii="Arial" w:hAnsi="Arial" w:eastAsia="宋体" w:cs="Arial"/>
          <w:szCs w:val="21"/>
        </w:rPr>
        <w:t>图2：化疗前（20**-12-20）后（20**-6-4）核磁比较：颈部淋巴结无明显变化。</w:t>
      </w:r>
    </w:p>
    <w:p w14:paraId="5B1F8159">
      <w:pPr>
        <w:spacing w:before="156" w:beforeLines="50" w:after="100" w:afterAutospacing="1" w:line="360" w:lineRule="auto"/>
        <w:ind w:firstLine="600"/>
        <w:contextualSpacing/>
        <w:rPr>
          <w:rFonts w:ascii="Arial" w:hAnsi="Arial" w:eastAsia="宋体" w:cs="Arial"/>
          <w:sz w:val="24"/>
        </w:rPr>
      </w:pPr>
      <w:r>
        <w:rPr>
          <w:rFonts w:ascii="Arial" w:hAnsi="Arial" w:eastAsia="宋体" w:cs="Arial"/>
          <w:sz w:val="24"/>
        </w:rPr>
        <w:t>头部CT（20**-5-21）及MRI（20**-6-4）：左侧额窦、筛窦残腔、上颌窦、左鼻腔占位性病变，广泛累及周围鼻颅眶及颌面部结构，符合恶性表现。</w:t>
      </w:r>
    </w:p>
    <w:p w14:paraId="5A5F23B0">
      <w:pPr>
        <w:spacing w:before="156" w:beforeLines="50" w:after="100" w:afterAutospacing="1" w:line="360" w:lineRule="auto"/>
        <w:ind w:firstLine="600"/>
        <w:contextualSpacing/>
        <w:rPr>
          <w:rFonts w:ascii="Arial" w:hAnsi="Arial" w:eastAsia="宋体" w:cs="Arial"/>
          <w:sz w:val="24"/>
        </w:rPr>
      </w:pPr>
      <w:r>
        <w:rPr>
          <w:rFonts w:ascii="Arial" w:hAnsi="Arial" w:eastAsia="宋体" w:cs="Arial"/>
          <w:sz w:val="24"/>
        </w:rPr>
        <w:t>颈部CT（</w:t>
      </w:r>
      <w:r>
        <w:rPr>
          <w:rFonts w:hint="eastAsia" w:ascii="Arial" w:hAnsi="Arial" w:eastAsia="宋体" w:cs="Arial"/>
          <w:sz w:val="24"/>
        </w:rPr>
        <w:t>20</w:t>
      </w:r>
      <w:r>
        <w:rPr>
          <w:rFonts w:ascii="Arial" w:hAnsi="Arial" w:eastAsia="宋体" w:cs="Arial"/>
          <w:sz w:val="24"/>
        </w:rPr>
        <w:t>**-5-21）：左侧颈部II区多发肿大淋巴结，最大者5.5*4.5*3.5mm</w:t>
      </w:r>
      <w:r>
        <w:rPr>
          <w:rFonts w:hint="eastAsia" w:ascii="Arial" w:hAnsi="Arial" w:eastAsia="宋体" w:cs="Arial"/>
          <w:sz w:val="24"/>
        </w:rPr>
        <w:t>（图3）</w:t>
      </w:r>
      <w:r>
        <w:rPr>
          <w:rFonts w:ascii="Arial" w:hAnsi="Arial" w:eastAsia="宋体" w:cs="Arial"/>
          <w:sz w:val="24"/>
        </w:rPr>
        <w:t>，主要位于下颌骨深方，考虑为淋巴结转移可能性大</w:t>
      </w:r>
      <w:r>
        <w:rPr>
          <w:rFonts w:hint="eastAsia" w:ascii="Arial" w:hAnsi="Arial" w:eastAsia="宋体" w:cs="Arial"/>
          <w:sz w:val="24"/>
        </w:rPr>
        <w:t>，与颈部血管关系密切（图4）。</w:t>
      </w:r>
    </w:p>
    <w:p w14:paraId="52921CCE">
      <w:pPr>
        <w:spacing w:after="100" w:afterAutospacing="1" w:line="360" w:lineRule="auto"/>
        <w:ind w:left="283" w:leftChars="135" w:firstLine="360"/>
        <w:contextualSpacing/>
        <w:jc w:val="center"/>
        <w:rPr>
          <w:rFonts w:ascii="Arial" w:hAnsi="Arial" w:eastAsia="宋体" w:cs="Arial"/>
          <w:sz w:val="24"/>
        </w:rPr>
      </w:pPr>
      <w:r>
        <w:rPr>
          <w:rFonts w:hint="eastAsia" w:ascii="Arial" w:hAnsi="Arial" w:eastAsia="宋体" w:cs="Arial"/>
          <w:sz w:val="24"/>
        </w:rPr>
        <w:drawing>
          <wp:inline distT="0" distB="0" distL="0" distR="0">
            <wp:extent cx="1942465" cy="1849755"/>
            <wp:effectExtent l="0" t="0" r="635" b="0"/>
            <wp:docPr id="15666512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651214" name="图片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009226" cy="1913094"/>
                    </a:xfrm>
                    <a:prstGeom prst="rect">
                      <a:avLst/>
                    </a:prstGeom>
                    <a:noFill/>
                    <a:ln>
                      <a:noFill/>
                    </a:ln>
                  </pic:spPr>
                </pic:pic>
              </a:graphicData>
            </a:graphic>
          </wp:inline>
        </w:drawing>
      </w:r>
      <w:r>
        <w:rPr>
          <w:rFonts w:hint="eastAsia" w:ascii="Arial" w:hAnsi="Arial" w:eastAsia="宋体" w:cs="Arial"/>
          <w:sz w:val="24"/>
        </w:rPr>
        <w:drawing>
          <wp:inline distT="0" distB="0" distL="0" distR="0">
            <wp:extent cx="1816735" cy="1844675"/>
            <wp:effectExtent l="0" t="0" r="0" b="3175"/>
            <wp:docPr id="151894842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948427" name="图片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872543" cy="1901143"/>
                    </a:xfrm>
                    <a:prstGeom prst="rect">
                      <a:avLst/>
                    </a:prstGeom>
                    <a:noFill/>
                    <a:ln>
                      <a:noFill/>
                    </a:ln>
                  </pic:spPr>
                </pic:pic>
              </a:graphicData>
            </a:graphic>
          </wp:inline>
        </w:drawing>
      </w:r>
    </w:p>
    <w:p w14:paraId="02590CA3">
      <w:pPr>
        <w:spacing w:after="100" w:afterAutospacing="1" w:line="360" w:lineRule="auto"/>
        <w:ind w:left="283" w:leftChars="135" w:firstLine="1050" w:firstLineChars="500"/>
        <w:contextualSpacing/>
        <w:rPr>
          <w:rFonts w:ascii="Arial" w:hAnsi="Arial" w:eastAsia="宋体" w:cs="Arial"/>
          <w:szCs w:val="21"/>
        </w:rPr>
      </w:pPr>
      <w:r>
        <w:rPr>
          <w:rFonts w:hint="eastAsia" w:ascii="Arial" w:hAnsi="Arial" w:eastAsia="宋体" w:cs="Arial"/>
          <w:szCs w:val="21"/>
        </w:rPr>
        <w:t>图3：颈部CT展示左颈II区高位巨大淋巴结</w:t>
      </w:r>
    </w:p>
    <w:p w14:paraId="2612DF75">
      <w:pPr>
        <w:spacing w:after="100" w:afterAutospacing="1" w:line="360" w:lineRule="auto"/>
        <w:ind w:left="283" w:leftChars="135" w:firstLine="360"/>
        <w:contextualSpacing/>
        <w:jc w:val="center"/>
        <w:rPr>
          <w:rFonts w:ascii="Arial" w:hAnsi="Arial" w:eastAsia="宋体" w:cs="Arial"/>
          <w:sz w:val="24"/>
        </w:rPr>
      </w:pPr>
      <w:r>
        <w:rPr>
          <w:rFonts w:ascii="Arial" w:hAnsi="Arial" w:eastAsia="宋体" w:cs="Arial"/>
          <w:sz w:val="24"/>
        </w:rPr>
        <w:drawing>
          <wp:inline distT="0" distB="0" distL="0" distR="0">
            <wp:extent cx="1948180" cy="1838325"/>
            <wp:effectExtent l="0" t="0" r="0" b="9525"/>
            <wp:docPr id="14960020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002010" name="图片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016704" cy="1903009"/>
                    </a:xfrm>
                    <a:prstGeom prst="rect">
                      <a:avLst/>
                    </a:prstGeom>
                    <a:noFill/>
                    <a:ln>
                      <a:noFill/>
                    </a:ln>
                  </pic:spPr>
                </pic:pic>
              </a:graphicData>
            </a:graphic>
          </wp:inline>
        </w:drawing>
      </w:r>
      <w:r>
        <w:rPr>
          <w:rFonts w:ascii="Arial" w:hAnsi="Arial" w:eastAsia="宋体" w:cs="Arial"/>
          <w:sz w:val="24"/>
        </w:rPr>
        <w:drawing>
          <wp:inline distT="0" distB="0" distL="0" distR="0">
            <wp:extent cx="1915795" cy="1847215"/>
            <wp:effectExtent l="0" t="0" r="8255" b="635"/>
            <wp:docPr id="185665897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658972" name="图片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974389" cy="1904189"/>
                    </a:xfrm>
                    <a:prstGeom prst="rect">
                      <a:avLst/>
                    </a:prstGeom>
                    <a:noFill/>
                    <a:ln>
                      <a:noFill/>
                    </a:ln>
                  </pic:spPr>
                </pic:pic>
              </a:graphicData>
            </a:graphic>
          </wp:inline>
        </w:drawing>
      </w:r>
    </w:p>
    <w:p w14:paraId="0167C5A4">
      <w:pPr>
        <w:spacing w:after="100" w:afterAutospacing="1" w:line="360" w:lineRule="auto"/>
        <w:ind w:left="283" w:leftChars="135" w:firstLine="357"/>
        <w:contextualSpacing/>
        <w:jc w:val="center"/>
        <w:rPr>
          <w:rFonts w:ascii="Arial" w:hAnsi="Arial" w:eastAsia="宋体" w:cs="Arial"/>
          <w:szCs w:val="21"/>
        </w:rPr>
      </w:pPr>
      <w:r>
        <w:rPr>
          <w:rFonts w:hint="eastAsia" w:ascii="Arial" w:hAnsi="Arial" w:eastAsia="宋体" w:cs="Arial"/>
          <w:szCs w:val="21"/>
        </w:rPr>
        <w:t>图4：颈部CT展示左颈II区高位巨大淋巴结与颈内静脉及颈内外动脉的紧密关系</w:t>
      </w:r>
    </w:p>
    <w:p w14:paraId="0D5A90EC">
      <w:pPr>
        <w:spacing w:before="156" w:beforeLines="50" w:after="100" w:afterAutospacing="1" w:line="360" w:lineRule="auto"/>
        <w:ind w:firstLine="600"/>
        <w:contextualSpacing/>
        <w:rPr>
          <w:rFonts w:ascii="Arial" w:hAnsi="Arial" w:eastAsia="宋体" w:cs="Arial"/>
          <w:sz w:val="24"/>
        </w:rPr>
      </w:pPr>
      <w:r>
        <w:rPr>
          <w:rFonts w:ascii="Arial" w:hAnsi="Arial" w:eastAsia="宋体" w:cs="Arial"/>
          <w:sz w:val="24"/>
        </w:rPr>
        <w:t>颈部超声（20**-6-4）：左II区多发淋巴结，倾向转移，最大者位于II区5.0*3.2cm。</w:t>
      </w:r>
    </w:p>
    <w:p w14:paraId="7655F1AC">
      <w:pPr>
        <w:spacing w:before="156" w:beforeLines="50" w:after="100" w:afterAutospacing="1" w:line="360" w:lineRule="auto"/>
        <w:contextualSpacing/>
        <w:rPr>
          <w:rFonts w:ascii="Arial" w:hAnsi="Arial" w:eastAsia="宋体" w:cs="Arial"/>
          <w:sz w:val="24"/>
        </w:rPr>
      </w:pPr>
      <w:r>
        <w:rPr>
          <w:rFonts w:ascii="Arial" w:hAnsi="Arial" w:eastAsia="宋体" w:cs="Arial"/>
          <w:sz w:val="24"/>
        </w:rPr>
        <w:t>1.4 诊断及鉴别诊断：</w:t>
      </w:r>
    </w:p>
    <w:p w14:paraId="364BF897">
      <w:pPr>
        <w:spacing w:before="156" w:beforeLines="50" w:after="100" w:afterAutospacing="1" w:line="360" w:lineRule="auto"/>
        <w:ind w:firstLine="480"/>
        <w:contextualSpacing/>
        <w:rPr>
          <w:rFonts w:ascii="Arial" w:hAnsi="Arial" w:eastAsia="宋体" w:cs="Arial"/>
          <w:sz w:val="24"/>
        </w:rPr>
      </w:pPr>
      <w:r>
        <w:rPr>
          <w:rFonts w:ascii="Arial" w:hAnsi="Arial" w:eastAsia="宋体" w:cs="Arial"/>
          <w:sz w:val="24"/>
        </w:rPr>
        <w:t>目前诊断：左鼻腔鼻窦横纹肌肉瘤T4aN3bM0，鼻内镜术后，化疗后</w:t>
      </w:r>
    </w:p>
    <w:p w14:paraId="3EB2C130">
      <w:pPr>
        <w:spacing w:before="156" w:beforeLines="50" w:after="100" w:afterAutospacing="1" w:line="360" w:lineRule="auto"/>
        <w:ind w:firstLine="480"/>
        <w:contextualSpacing/>
        <w:rPr>
          <w:rFonts w:ascii="Arial" w:hAnsi="Arial" w:eastAsia="宋体" w:cs="Arial"/>
          <w:sz w:val="24"/>
        </w:rPr>
      </w:pPr>
      <w:r>
        <w:rPr>
          <w:rFonts w:ascii="Arial" w:hAnsi="Arial" w:eastAsia="宋体" w:cs="Arial"/>
          <w:sz w:val="24"/>
        </w:rPr>
        <w:t>诊断依据：（1）患者症状表现为左侧持续性鼻堵，伴间断头疼，鼻出血，曾于外院行鼻内镜手术，术后病理：横纹肌肉瘤（腺泡型），并行化疗治疗8周期后。（2）体格检查：左上颈部下颌角区可触及质硬结节，直径约6cm，上至下颌骨内侧，活动度欠佳。鼻腔通畅，未见明显新生物及分泌物。（3）辅助检查：MRI提示左侧额窦、筛窦残腔、上颌窦、左鼻腔占位性病变，广泛累及周围鼻颅眶及颌面部结构，符合恶性表现。超声及颈部CT提示左颈部多发肿大淋巴结，转移可能性大。</w:t>
      </w:r>
    </w:p>
    <w:p w14:paraId="312E3BE9">
      <w:pPr>
        <w:spacing w:before="156" w:beforeLines="50" w:after="100" w:afterAutospacing="1" w:line="360" w:lineRule="auto"/>
        <w:ind w:firstLine="426"/>
        <w:contextualSpacing/>
        <w:rPr>
          <w:rFonts w:ascii="Arial" w:hAnsi="Arial" w:eastAsia="宋体" w:cs="Arial"/>
          <w:sz w:val="24"/>
        </w:rPr>
      </w:pPr>
      <w:r>
        <w:rPr>
          <w:rFonts w:ascii="Arial" w:hAnsi="Arial" w:eastAsia="宋体" w:cs="Arial"/>
          <w:sz w:val="24"/>
        </w:rPr>
        <w:t>鉴别诊断：（</w:t>
      </w:r>
      <w:r>
        <w:rPr>
          <w:rFonts w:hint="eastAsia" w:ascii="Arial" w:hAnsi="Arial" w:eastAsia="宋体" w:cs="Arial"/>
          <w:sz w:val="24"/>
        </w:rPr>
        <w:t>1</w:t>
      </w:r>
      <w:r>
        <w:rPr>
          <w:rFonts w:ascii="Arial" w:hAnsi="Arial" w:eastAsia="宋体" w:cs="Arial"/>
          <w:sz w:val="24"/>
        </w:rPr>
        <w:t>）淋巴瘤：多表现为颈部无痛性多发包块，影像学提示颈部多发肿大淋巴结，PETCT可提示淋巴结肿大SUV值升高，并可提示可能的代谢增高的原发灶位置，淋巴结活检有助于鉴别。（</w:t>
      </w:r>
      <w:r>
        <w:rPr>
          <w:rFonts w:hint="eastAsia" w:ascii="Arial" w:hAnsi="Arial" w:eastAsia="宋体" w:cs="Arial"/>
          <w:sz w:val="24"/>
        </w:rPr>
        <w:t>2</w:t>
      </w:r>
      <w:r>
        <w:rPr>
          <w:rFonts w:ascii="Arial" w:hAnsi="Arial" w:eastAsia="宋体" w:cs="Arial"/>
          <w:sz w:val="24"/>
        </w:rPr>
        <w:t>）淋巴结核：多表现为颈部无痛性多发结节，呈串珠状，可伴有低热盗汗等全身症状。肺CT影像学检查有助于肺结核合并淋巴结的鉴别。淋巴结活检有助于鉴别。</w:t>
      </w:r>
    </w:p>
    <w:p w14:paraId="137016F2">
      <w:pPr>
        <w:spacing w:before="156" w:beforeLines="50" w:after="100" w:afterAutospacing="1" w:line="360" w:lineRule="auto"/>
        <w:contextualSpacing/>
        <w:rPr>
          <w:rFonts w:ascii="Arial" w:hAnsi="Arial" w:eastAsia="宋体" w:cs="Arial"/>
          <w:sz w:val="24"/>
        </w:rPr>
      </w:pPr>
      <w:r>
        <w:rPr>
          <w:rFonts w:ascii="Arial" w:hAnsi="Arial" w:eastAsia="宋体" w:cs="Arial"/>
          <w:sz w:val="24"/>
        </w:rPr>
        <w:t>1.5 治疗干预</w:t>
      </w:r>
    </w:p>
    <w:p w14:paraId="0A17704A">
      <w:pPr>
        <w:spacing w:before="156" w:beforeLines="50" w:after="100" w:afterAutospacing="1" w:line="360" w:lineRule="auto"/>
        <w:ind w:firstLine="426"/>
        <w:contextualSpacing/>
        <w:rPr>
          <w:rFonts w:ascii="Arial" w:hAnsi="Arial" w:eastAsia="宋体" w:cs="Arial"/>
          <w:sz w:val="24"/>
        </w:rPr>
      </w:pPr>
      <w:r>
        <w:rPr>
          <w:rFonts w:ascii="Arial" w:hAnsi="Arial" w:eastAsia="宋体" w:cs="Arial"/>
          <w:sz w:val="24"/>
        </w:rPr>
        <w:t>完善术前相关检查后行鼻侧切开鼻腔鼻窦眶内肿物切除术+鼻中隔瓣修复术+左侧颈淋巴结I-V区清扫术</w:t>
      </w:r>
    </w:p>
    <w:p w14:paraId="2919A4AB">
      <w:pPr>
        <w:spacing w:before="156" w:beforeLines="50" w:after="100" w:afterAutospacing="1" w:line="360" w:lineRule="auto"/>
        <w:ind w:firstLine="426"/>
        <w:contextualSpacing/>
        <w:rPr>
          <w:rFonts w:ascii="Arial" w:hAnsi="Arial" w:eastAsia="宋体" w:cs="Arial"/>
          <w:sz w:val="24"/>
        </w:rPr>
      </w:pPr>
      <w:r>
        <w:rPr>
          <w:rFonts w:ascii="Arial" w:hAnsi="Arial" w:eastAsia="宋体" w:cs="Arial"/>
          <w:sz w:val="24"/>
        </w:rPr>
        <w:t>患者先予鼻侧切开彻底上颌骨部分切除开放左侧</w:t>
      </w:r>
      <w:r>
        <w:rPr>
          <w:rFonts w:hint="eastAsia" w:ascii="Arial" w:hAnsi="Arial" w:eastAsia="宋体" w:cs="Arial"/>
          <w:sz w:val="24"/>
        </w:rPr>
        <w:t>鼻窦</w:t>
      </w:r>
      <w:r>
        <w:rPr>
          <w:rFonts w:ascii="Arial" w:hAnsi="Arial" w:eastAsia="宋体" w:cs="Arial"/>
          <w:sz w:val="24"/>
        </w:rPr>
        <w:t>，见</w:t>
      </w:r>
      <w:r>
        <w:rPr>
          <w:rFonts w:hint="eastAsia" w:ascii="Arial" w:hAnsi="Arial" w:eastAsia="宋体" w:cs="Arial"/>
          <w:sz w:val="24"/>
        </w:rPr>
        <w:t>筛</w:t>
      </w:r>
      <w:r>
        <w:rPr>
          <w:rFonts w:ascii="Arial" w:hAnsi="Arial" w:eastAsia="宋体" w:cs="Arial"/>
          <w:sz w:val="24"/>
        </w:rPr>
        <w:t>窦内瘢痕及淡红色新生物，累及左侧眶内及内直肌，将眶筋膜、部分眶脂肪及内直肌一并切除，取蒂在后方的鼻中隔黏膜瓣修复眶内壁及下壁，</w:t>
      </w:r>
      <w:r>
        <w:rPr>
          <w:rFonts w:hint="eastAsia" w:ascii="Arial" w:hAnsi="Arial" w:eastAsia="宋体" w:cs="Arial"/>
          <w:sz w:val="24"/>
        </w:rPr>
        <w:t>术区</w:t>
      </w:r>
      <w:r>
        <w:rPr>
          <w:rFonts w:ascii="Arial" w:hAnsi="Arial" w:eastAsia="宋体" w:cs="Arial"/>
          <w:sz w:val="24"/>
        </w:rPr>
        <w:t>填塞碘仿纱条，逐层缝合</w:t>
      </w:r>
      <w:r>
        <w:rPr>
          <w:rFonts w:hint="eastAsia" w:ascii="Arial" w:hAnsi="Arial" w:eastAsia="宋体" w:cs="Arial"/>
          <w:sz w:val="24"/>
        </w:rPr>
        <w:t>切口</w:t>
      </w:r>
      <w:r>
        <w:rPr>
          <w:rFonts w:ascii="Arial" w:hAnsi="Arial" w:eastAsia="宋体" w:cs="Arial"/>
          <w:sz w:val="24"/>
        </w:rPr>
        <w:t>。于颈部切开皮肤，掀起皮瓣</w:t>
      </w:r>
      <w:r>
        <w:rPr>
          <w:rFonts w:hint="eastAsia" w:ascii="Arial" w:hAnsi="Arial" w:eastAsia="宋体" w:cs="Arial"/>
          <w:sz w:val="24"/>
        </w:rPr>
        <w:t>，</w:t>
      </w:r>
      <w:r>
        <w:rPr>
          <w:rFonts w:ascii="Arial" w:hAnsi="Arial" w:eastAsia="宋体" w:cs="Arial"/>
          <w:sz w:val="24"/>
        </w:rPr>
        <w:t>掀起左侧胸锁乳突肌，见左II区约6cm质硬结节，向上突至咽旁间隙，与副神经、颈内静脉颈内动脉</w:t>
      </w:r>
      <w:r>
        <w:rPr>
          <w:rFonts w:hint="eastAsia" w:ascii="Arial" w:hAnsi="Arial" w:eastAsia="宋体" w:cs="Arial"/>
          <w:sz w:val="24"/>
        </w:rPr>
        <w:t>黏连</w:t>
      </w:r>
      <w:r>
        <w:rPr>
          <w:rFonts w:ascii="Arial" w:hAnsi="Arial" w:eastAsia="宋体" w:cs="Arial"/>
          <w:sz w:val="24"/>
        </w:rPr>
        <w:t>。沿锥前筋膜清扫IV-II区至大结节下缘，于肿物下方颈内静脉阻断带保护。向上掀起腮腺尾叶，见肿物上端向上超过二腹肌突至咽旁间隙。充分解离二腹肌，暴露肿物上端，颈内静脉上端解离并予阻断带保护。见肿物与颈内、外动脉</w:t>
      </w:r>
      <w:r>
        <w:rPr>
          <w:rFonts w:hint="eastAsia" w:ascii="Arial" w:hAnsi="Arial" w:eastAsia="宋体" w:cs="Arial"/>
          <w:sz w:val="24"/>
        </w:rPr>
        <w:t>黏连</w:t>
      </w:r>
      <w:r>
        <w:rPr>
          <w:rFonts w:ascii="Arial" w:hAnsi="Arial" w:eastAsia="宋体" w:cs="Arial"/>
          <w:sz w:val="24"/>
        </w:rPr>
        <w:t>，局部包</w:t>
      </w:r>
      <w:r>
        <w:rPr>
          <w:rFonts w:hint="eastAsia" w:ascii="Arial" w:hAnsi="Arial" w:eastAsia="宋体" w:cs="Arial"/>
          <w:sz w:val="24"/>
        </w:rPr>
        <w:t>绕</w:t>
      </w:r>
      <w:r>
        <w:rPr>
          <w:rFonts w:ascii="Arial" w:hAnsi="Arial" w:eastAsia="宋体" w:cs="Arial"/>
          <w:sz w:val="24"/>
        </w:rPr>
        <w:t>压闭颈内静脉，但无明显侵犯，原位保留颈内外动脉、颈内静脉及副神经，将II区大淋巴结及侧颈I-Va区淋巴结一并整体切除。</w:t>
      </w:r>
      <w:r>
        <w:rPr>
          <w:rFonts w:hint="eastAsia" w:ascii="Arial" w:hAnsi="Arial" w:eastAsia="宋体" w:cs="Arial"/>
          <w:sz w:val="24"/>
        </w:rPr>
        <w:t>术区</w:t>
      </w:r>
      <w:r>
        <w:rPr>
          <w:rFonts w:ascii="Arial" w:hAnsi="Arial" w:eastAsia="宋体" w:cs="Arial"/>
          <w:sz w:val="24"/>
        </w:rPr>
        <w:t>放置负压引流，逐层关闭术腔</w:t>
      </w:r>
      <w:r>
        <w:rPr>
          <w:rFonts w:hint="eastAsia" w:ascii="Arial" w:hAnsi="Arial" w:eastAsia="宋体" w:cs="Arial"/>
          <w:sz w:val="24"/>
        </w:rPr>
        <w:t>（图5）</w:t>
      </w:r>
      <w:r>
        <w:rPr>
          <w:rFonts w:ascii="Arial" w:hAnsi="Arial" w:eastAsia="宋体" w:cs="Arial"/>
          <w:sz w:val="24"/>
        </w:rPr>
        <w:t>。</w:t>
      </w:r>
    </w:p>
    <w:p w14:paraId="2EDF477F">
      <w:pPr>
        <w:spacing w:before="156" w:beforeLines="50" w:after="100" w:afterAutospacing="1" w:line="360" w:lineRule="auto"/>
        <w:ind w:firstLine="360"/>
        <w:contextualSpacing/>
        <w:jc w:val="center"/>
        <w:rPr>
          <w:rFonts w:ascii="Arial" w:hAnsi="Arial" w:eastAsia="宋体" w:cs="Arial"/>
          <w:sz w:val="24"/>
        </w:rPr>
      </w:pPr>
      <w:r>
        <w:rPr>
          <w:rFonts w:ascii="Arial" w:hAnsi="Arial" w:eastAsia="宋体" w:cs="Arial"/>
          <w:sz w:val="24"/>
        </w:rPr>
        <w:drawing>
          <wp:inline distT="0" distB="0" distL="0" distR="0">
            <wp:extent cx="3427095" cy="2672080"/>
            <wp:effectExtent l="0" t="0" r="1905" b="0"/>
            <wp:docPr id="143934498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44980" name="图片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468053" cy="2703784"/>
                    </a:xfrm>
                    <a:prstGeom prst="rect">
                      <a:avLst/>
                    </a:prstGeom>
                    <a:noFill/>
                    <a:ln>
                      <a:noFill/>
                    </a:ln>
                  </pic:spPr>
                </pic:pic>
              </a:graphicData>
            </a:graphic>
          </wp:inline>
        </w:drawing>
      </w:r>
    </w:p>
    <w:p w14:paraId="5AEBCB24">
      <w:pPr>
        <w:spacing w:before="156" w:beforeLines="50" w:after="100" w:afterAutospacing="1" w:line="360" w:lineRule="auto"/>
        <w:ind w:left="284" w:leftChars="134" w:hanging="3"/>
        <w:contextualSpacing/>
        <w:jc w:val="center"/>
        <w:rPr>
          <w:rFonts w:ascii="Arial" w:hAnsi="Arial" w:eastAsia="宋体" w:cs="Arial"/>
          <w:sz w:val="24"/>
        </w:rPr>
      </w:pPr>
      <w:r>
        <w:rPr>
          <w:rFonts w:ascii="Arial" w:hAnsi="Arial" w:eastAsia="宋体" w:cs="Arial"/>
          <w:sz w:val="24"/>
        </w:rPr>
        <w:drawing>
          <wp:inline distT="0" distB="0" distL="0" distR="0">
            <wp:extent cx="3476625" cy="2644140"/>
            <wp:effectExtent l="0" t="0" r="0" b="3810"/>
            <wp:docPr id="129801706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017062" name="图片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518565" cy="2676636"/>
                    </a:xfrm>
                    <a:prstGeom prst="rect">
                      <a:avLst/>
                    </a:prstGeom>
                    <a:noFill/>
                    <a:ln>
                      <a:noFill/>
                    </a:ln>
                  </pic:spPr>
                </pic:pic>
              </a:graphicData>
            </a:graphic>
          </wp:inline>
        </w:drawing>
      </w:r>
      <w:r>
        <w:rPr>
          <w:rFonts w:ascii="Arial" w:hAnsi="Arial" w:eastAsia="宋体" w:cs="Arial"/>
          <w:sz w:val="24"/>
        </w:rPr>
        <w:drawing>
          <wp:inline distT="0" distB="0" distL="0" distR="0">
            <wp:extent cx="3505200" cy="2505075"/>
            <wp:effectExtent l="0" t="0" r="0" b="0"/>
            <wp:docPr id="121589226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892262" name="图片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527393" cy="2520842"/>
                    </a:xfrm>
                    <a:prstGeom prst="rect">
                      <a:avLst/>
                    </a:prstGeom>
                    <a:noFill/>
                    <a:ln>
                      <a:noFill/>
                    </a:ln>
                  </pic:spPr>
                </pic:pic>
              </a:graphicData>
            </a:graphic>
          </wp:inline>
        </w:drawing>
      </w:r>
    </w:p>
    <w:p w14:paraId="07146D06">
      <w:pPr>
        <w:spacing w:before="156" w:beforeLines="50" w:after="100" w:afterAutospacing="1" w:line="360" w:lineRule="auto"/>
        <w:ind w:firstLine="420" w:firstLineChars="200"/>
        <w:contextualSpacing/>
        <w:rPr>
          <w:rFonts w:ascii="Arial" w:hAnsi="Arial" w:eastAsia="宋体" w:cs="Arial"/>
          <w:szCs w:val="21"/>
        </w:rPr>
      </w:pPr>
      <w:r>
        <w:rPr>
          <w:rFonts w:hint="eastAsia" w:ascii="Arial" w:hAnsi="Arial" w:eastAsia="宋体" w:cs="Arial"/>
          <w:szCs w:val="21"/>
        </w:rPr>
        <w:t>图5：术中照片展示颈清扫术腔情况，及颈部淋巴结整块切除标本</w:t>
      </w:r>
    </w:p>
    <w:p w14:paraId="6BFE3A47">
      <w:pPr>
        <w:spacing w:before="156" w:beforeLines="50" w:after="100" w:afterAutospacing="1" w:line="360" w:lineRule="auto"/>
        <w:contextualSpacing/>
        <w:rPr>
          <w:rFonts w:ascii="Arial" w:hAnsi="Arial" w:eastAsia="宋体" w:cs="Arial"/>
          <w:sz w:val="24"/>
        </w:rPr>
      </w:pPr>
      <w:r>
        <w:rPr>
          <w:rFonts w:ascii="Arial" w:hAnsi="Arial" w:eastAsia="宋体" w:cs="Arial"/>
          <w:sz w:val="24"/>
        </w:rPr>
        <w:t>1.6 治疗结果、随访及转归</w:t>
      </w:r>
    </w:p>
    <w:p w14:paraId="6BC6932E">
      <w:pPr>
        <w:tabs>
          <w:tab w:val="left" w:pos="709"/>
        </w:tabs>
        <w:spacing w:before="156" w:beforeLines="50" w:after="100" w:afterAutospacing="1" w:line="360" w:lineRule="auto"/>
        <w:ind w:firstLine="426"/>
        <w:contextualSpacing/>
        <w:rPr>
          <w:rFonts w:ascii="Arial" w:hAnsi="Arial" w:eastAsia="宋体" w:cs="Arial"/>
          <w:sz w:val="24"/>
        </w:rPr>
      </w:pPr>
      <w:r>
        <w:rPr>
          <w:rFonts w:ascii="Arial" w:hAnsi="Arial" w:eastAsia="宋体" w:cs="Arial"/>
          <w:sz w:val="24"/>
        </w:rPr>
        <w:t>患者术后恢复良好，面部无红肿，左眼睑稍水肿，视力正常，颈部引流量及颜色正常。术后第5天予以出院。</w:t>
      </w:r>
    </w:p>
    <w:p w14:paraId="0B8A7B61">
      <w:pPr>
        <w:tabs>
          <w:tab w:val="left" w:pos="709"/>
        </w:tabs>
        <w:spacing w:before="156" w:beforeLines="50" w:after="100" w:afterAutospacing="1" w:line="360" w:lineRule="auto"/>
        <w:ind w:firstLine="433"/>
        <w:contextualSpacing/>
        <w:rPr>
          <w:rFonts w:ascii="Arial" w:hAnsi="Arial" w:eastAsia="宋体" w:cs="Arial"/>
          <w:sz w:val="24"/>
        </w:rPr>
      </w:pPr>
      <w:r>
        <w:rPr>
          <w:rFonts w:ascii="Arial" w:hAnsi="Arial" w:eastAsia="宋体" w:cs="Arial"/>
          <w:sz w:val="24"/>
        </w:rPr>
        <w:t>术后病理回报：筛窦、上颌骨、眶脂肪标本均可见肿瘤组织，横纹肌肉瘤。I区0/3，IIa区6/13，IIb区1/10，III区1/9，IV区0/22，Va区0/1转移。</w:t>
      </w:r>
    </w:p>
    <w:p w14:paraId="3211004F">
      <w:pPr>
        <w:tabs>
          <w:tab w:val="left" w:pos="709"/>
        </w:tabs>
        <w:spacing w:before="156" w:beforeLines="50" w:after="100" w:afterAutospacing="1" w:line="360" w:lineRule="auto"/>
        <w:ind w:firstLine="433"/>
        <w:contextualSpacing/>
        <w:rPr>
          <w:rFonts w:ascii="Arial" w:hAnsi="Arial" w:eastAsia="宋体" w:cs="Arial"/>
          <w:sz w:val="24"/>
        </w:rPr>
      </w:pPr>
      <w:r>
        <w:rPr>
          <w:rFonts w:ascii="Arial" w:hAnsi="Arial" w:eastAsia="宋体" w:cs="Arial"/>
          <w:sz w:val="24"/>
        </w:rPr>
        <w:t>术后一周撤除鼻腔填塞材料，颈部拆线。局部伤口愈合良好，视力正常，眼球活动正常，无明显复视。进一步将于术后1月行进一步放射治疗。</w:t>
      </w:r>
    </w:p>
    <w:p w14:paraId="775C6086">
      <w:pPr>
        <w:spacing w:before="156" w:beforeLines="50" w:after="100" w:afterAutospacing="1" w:line="360" w:lineRule="auto"/>
        <w:contextualSpacing/>
        <w:rPr>
          <w:rFonts w:ascii="Arial" w:hAnsi="Arial" w:eastAsia="宋体" w:cs="Arial"/>
          <w:b/>
          <w:bCs/>
          <w:sz w:val="24"/>
        </w:rPr>
      </w:pPr>
      <w:r>
        <w:rPr>
          <w:rFonts w:ascii="Arial" w:hAnsi="Arial" w:eastAsia="宋体" w:cs="Arial"/>
          <w:b/>
          <w:bCs/>
          <w:sz w:val="24"/>
        </w:rPr>
        <w:t>2．讨论</w:t>
      </w:r>
    </w:p>
    <w:p w14:paraId="4AECE9D8">
      <w:pPr>
        <w:spacing w:before="156" w:beforeLines="50" w:after="100" w:afterAutospacing="1" w:line="360" w:lineRule="auto"/>
        <w:ind w:firstLine="420"/>
        <w:contextualSpacing/>
        <w:rPr>
          <w:rFonts w:ascii="Arial" w:hAnsi="Arial" w:eastAsia="宋体" w:cs="Arial"/>
          <w:sz w:val="24"/>
        </w:rPr>
      </w:pPr>
      <w:r>
        <w:rPr>
          <w:rFonts w:ascii="Arial" w:hAnsi="Arial" w:eastAsia="宋体" w:cs="Arial"/>
          <w:sz w:val="24"/>
        </w:rPr>
        <w:t>横纹肌肉瘤是一种罕见的恶性肿瘤，在成人癌症中占比约1%</w:t>
      </w:r>
      <w:r>
        <w:rPr>
          <w:rFonts w:hint="eastAsia" w:ascii="Arial" w:hAnsi="Arial" w:eastAsia="宋体" w:cs="Arial"/>
          <w:sz w:val="24"/>
          <w:vertAlign w:val="superscript"/>
        </w:rPr>
        <w:t>[3]</w:t>
      </w:r>
      <w:r>
        <w:rPr>
          <w:rFonts w:ascii="Arial" w:hAnsi="Arial" w:eastAsia="宋体" w:cs="Arial"/>
          <w:sz w:val="24"/>
        </w:rPr>
        <w:t>，其中腺泡状亚型的患者更易发生区域淋巴结转移，危险度更高</w:t>
      </w:r>
      <w:r>
        <w:rPr>
          <w:rFonts w:hint="eastAsia" w:ascii="Arial" w:hAnsi="Arial" w:eastAsia="宋体" w:cs="Arial"/>
          <w:sz w:val="24"/>
          <w:vertAlign w:val="superscript"/>
        </w:rPr>
        <w:t>[4]</w:t>
      </w:r>
      <w:r>
        <w:rPr>
          <w:rFonts w:ascii="Arial" w:hAnsi="Arial" w:eastAsia="宋体" w:cs="Arial"/>
          <w:sz w:val="24"/>
        </w:rPr>
        <w:t>，具有高复发率和死亡率</w:t>
      </w:r>
      <w:r>
        <w:rPr>
          <w:rFonts w:hint="eastAsia" w:ascii="Arial" w:hAnsi="Arial" w:eastAsia="宋体" w:cs="Arial"/>
          <w:sz w:val="24"/>
          <w:vertAlign w:val="superscript"/>
        </w:rPr>
        <w:t>[5]</w:t>
      </w:r>
      <w:r>
        <w:rPr>
          <w:rFonts w:ascii="Arial" w:hAnsi="Arial" w:eastAsia="宋体" w:cs="Arial"/>
          <w:sz w:val="24"/>
        </w:rPr>
        <w:t>。</w:t>
      </w:r>
    </w:p>
    <w:p w14:paraId="1C9791E5">
      <w:pPr>
        <w:spacing w:before="156" w:beforeLines="50" w:after="100" w:afterAutospacing="1" w:line="360" w:lineRule="auto"/>
        <w:ind w:firstLine="420"/>
        <w:contextualSpacing/>
        <w:rPr>
          <w:rFonts w:ascii="Arial" w:hAnsi="Arial" w:eastAsia="宋体" w:cs="Arial"/>
          <w:sz w:val="24"/>
        </w:rPr>
      </w:pPr>
      <w:r>
        <w:rPr>
          <w:rFonts w:ascii="Arial" w:hAnsi="Arial" w:eastAsia="宋体" w:cs="Arial"/>
          <w:sz w:val="24"/>
        </w:rPr>
        <w:t>本例患者临床分期IV期，化疗后原发灶退缩</w:t>
      </w:r>
      <w:r>
        <w:rPr>
          <w:rFonts w:hint="eastAsia" w:ascii="Arial" w:hAnsi="Arial" w:eastAsia="宋体" w:cs="Arial"/>
          <w:sz w:val="24"/>
        </w:rPr>
        <w:t>良好</w:t>
      </w:r>
      <w:r>
        <w:rPr>
          <w:rFonts w:ascii="Arial" w:hAnsi="Arial" w:eastAsia="宋体" w:cs="Arial"/>
          <w:sz w:val="24"/>
        </w:rPr>
        <w:t>，淋巴结缩退效果欠佳，手术彻底切除是目前最佳治疗方法</w:t>
      </w:r>
      <w:r>
        <w:rPr>
          <w:rFonts w:hint="eastAsia" w:ascii="Arial" w:hAnsi="Arial" w:eastAsia="宋体" w:cs="Arial"/>
          <w:sz w:val="24"/>
        </w:rPr>
        <w:t>。患者淋巴结</w:t>
      </w:r>
      <w:r>
        <w:rPr>
          <w:rFonts w:ascii="Arial" w:hAnsi="Arial" w:eastAsia="宋体" w:cs="Arial"/>
          <w:sz w:val="24"/>
        </w:rPr>
        <w:t>最高点位于下颌骨后方，</w:t>
      </w:r>
      <w:r>
        <w:rPr>
          <w:rFonts w:hint="eastAsia" w:ascii="Arial" w:hAnsi="Arial" w:eastAsia="宋体" w:cs="Arial"/>
          <w:sz w:val="24"/>
        </w:rPr>
        <w:t>且与颈部大血管粘连，导致</w:t>
      </w:r>
      <w:r>
        <w:rPr>
          <w:rFonts w:ascii="Arial" w:hAnsi="Arial" w:eastAsia="宋体" w:cs="Arial"/>
          <w:sz w:val="24"/>
        </w:rPr>
        <w:t>血管上端暴露不理想，</w:t>
      </w:r>
      <w:r>
        <w:rPr>
          <w:rFonts w:hint="eastAsia" w:ascii="Arial" w:hAnsi="Arial" w:eastAsia="宋体" w:cs="Arial"/>
          <w:sz w:val="24"/>
        </w:rPr>
        <w:t>如操作不当，</w:t>
      </w:r>
      <w:r>
        <w:rPr>
          <w:rFonts w:ascii="Arial" w:hAnsi="Arial" w:eastAsia="宋体" w:cs="Arial"/>
          <w:sz w:val="24"/>
        </w:rPr>
        <w:t>极易出现大出血、甚至</w:t>
      </w:r>
      <w:r>
        <w:rPr>
          <w:rFonts w:hint="eastAsia" w:ascii="Arial" w:hAnsi="Arial" w:eastAsia="宋体" w:cs="Arial"/>
          <w:sz w:val="24"/>
        </w:rPr>
        <w:t>出现严重颅脑并发症</w:t>
      </w:r>
      <w:r>
        <w:rPr>
          <w:rFonts w:ascii="Arial" w:hAnsi="Arial" w:eastAsia="宋体" w:cs="Arial"/>
          <w:sz w:val="24"/>
        </w:rPr>
        <w:t>。必要时需下颌骨裂开，创伤明显增加，且影响患者咀嚼</w:t>
      </w:r>
      <w:r>
        <w:rPr>
          <w:rFonts w:hint="eastAsia" w:ascii="Arial" w:hAnsi="Arial" w:eastAsia="宋体" w:cs="Arial"/>
          <w:sz w:val="24"/>
        </w:rPr>
        <w:t>功能</w:t>
      </w:r>
      <w:r>
        <w:rPr>
          <w:rFonts w:ascii="Arial" w:hAnsi="Arial" w:eastAsia="宋体" w:cs="Arial"/>
          <w:sz w:val="24"/>
        </w:rPr>
        <w:t>。</w:t>
      </w:r>
    </w:p>
    <w:p w14:paraId="4D41F9AC">
      <w:pPr>
        <w:spacing w:before="156" w:beforeLines="50" w:after="100" w:afterAutospacing="1" w:line="360" w:lineRule="auto"/>
        <w:ind w:firstLine="420"/>
        <w:contextualSpacing/>
        <w:rPr>
          <w:rFonts w:ascii="Arial" w:hAnsi="Arial" w:eastAsia="宋体" w:cs="Arial"/>
          <w:sz w:val="24"/>
        </w:rPr>
      </w:pPr>
      <w:r>
        <w:rPr>
          <w:rFonts w:ascii="Arial" w:hAnsi="Arial" w:eastAsia="宋体" w:cs="Arial"/>
          <w:sz w:val="24"/>
        </w:rPr>
        <w:t>本例患者</w:t>
      </w:r>
      <w:r>
        <w:rPr>
          <w:rFonts w:hint="eastAsia" w:ascii="Arial" w:hAnsi="Arial" w:eastAsia="宋体" w:cs="Arial"/>
          <w:sz w:val="24"/>
        </w:rPr>
        <w:t>手术</w:t>
      </w:r>
      <w:r>
        <w:rPr>
          <w:rFonts w:ascii="Arial" w:hAnsi="Arial" w:eastAsia="宋体" w:cs="Arial"/>
          <w:sz w:val="24"/>
        </w:rPr>
        <w:t>中</w:t>
      </w:r>
      <w:r>
        <w:rPr>
          <w:rFonts w:hint="eastAsia" w:ascii="Arial" w:hAnsi="Arial" w:eastAsia="宋体" w:cs="Arial"/>
          <w:sz w:val="24"/>
        </w:rPr>
        <w:t>予掀起</w:t>
      </w:r>
      <w:r>
        <w:rPr>
          <w:rFonts w:ascii="Arial" w:hAnsi="Arial" w:eastAsia="宋体" w:cs="Arial"/>
          <w:sz w:val="24"/>
        </w:rPr>
        <w:t>腮腺尾叶</w:t>
      </w:r>
      <w:r>
        <w:rPr>
          <w:rFonts w:hint="eastAsia" w:ascii="Arial" w:hAnsi="Arial" w:eastAsia="宋体" w:cs="Arial"/>
          <w:sz w:val="24"/>
        </w:rPr>
        <w:t>，</w:t>
      </w:r>
      <w:r>
        <w:rPr>
          <w:rFonts w:ascii="Arial" w:hAnsi="Arial" w:eastAsia="宋体" w:cs="Arial"/>
          <w:sz w:val="24"/>
        </w:rPr>
        <w:t>充分显露游离二腹肌，以更好暴露肿物上端。将肿物与</w:t>
      </w:r>
      <w:r>
        <w:rPr>
          <w:rFonts w:hint="eastAsia" w:ascii="Arial" w:hAnsi="Arial" w:eastAsia="宋体" w:cs="Arial"/>
          <w:sz w:val="24"/>
        </w:rPr>
        <w:t>粘连的</w:t>
      </w:r>
      <w:r>
        <w:rPr>
          <w:rFonts w:ascii="Arial" w:hAnsi="Arial" w:eastAsia="宋体" w:cs="Arial"/>
          <w:sz w:val="24"/>
        </w:rPr>
        <w:t>颈内动脉</w:t>
      </w:r>
      <w:r>
        <w:rPr>
          <w:rFonts w:hint="eastAsia" w:ascii="Arial" w:hAnsi="Arial" w:eastAsia="宋体" w:cs="Arial"/>
          <w:sz w:val="24"/>
        </w:rPr>
        <w:t>精细解离</w:t>
      </w:r>
      <w:r>
        <w:rPr>
          <w:rFonts w:ascii="Arial" w:hAnsi="Arial" w:eastAsia="宋体" w:cs="Arial"/>
          <w:sz w:val="24"/>
        </w:rPr>
        <w:t>，将颈内静脉上下端充分显露放置阻断带，避免大出血风险。从胸锁乳突肌后缘解离副神经，沿神经向内逐步</w:t>
      </w:r>
      <w:r>
        <w:rPr>
          <w:rFonts w:hint="eastAsia" w:ascii="Arial" w:hAnsi="Arial" w:eastAsia="宋体" w:cs="Arial"/>
          <w:sz w:val="24"/>
        </w:rPr>
        <w:t>解剖</w:t>
      </w:r>
      <w:r>
        <w:rPr>
          <w:rFonts w:ascii="Arial" w:hAnsi="Arial" w:eastAsia="宋体" w:cs="Arial"/>
          <w:sz w:val="24"/>
        </w:rPr>
        <w:t>，在保证肿瘤无破损的情况下，完整保留副神经及颈内静脉。将II区大淋巴结与其他侧颈淋巴结整体完整切除，避免分段切除时可能存在了肿瘤残留。</w:t>
      </w:r>
    </w:p>
    <w:p w14:paraId="045F7111">
      <w:pPr>
        <w:spacing w:before="156" w:beforeLines="50" w:after="100" w:afterAutospacing="1" w:line="360" w:lineRule="auto"/>
        <w:ind w:firstLine="420"/>
        <w:contextualSpacing/>
        <w:rPr>
          <w:rFonts w:ascii="Arial" w:hAnsi="Arial" w:eastAsia="宋体" w:cs="Arial"/>
          <w:sz w:val="24"/>
        </w:rPr>
      </w:pPr>
      <w:r>
        <w:rPr>
          <w:rFonts w:ascii="Arial" w:hAnsi="Arial" w:eastAsia="宋体" w:cs="Arial"/>
          <w:sz w:val="24"/>
        </w:rPr>
        <w:t>鼻腔鼻窦腺泡型横纹肌肉瘤为罕见病例，手术的完整彻底切除</w:t>
      </w:r>
      <w:r>
        <w:rPr>
          <w:rFonts w:hint="eastAsia" w:ascii="Arial" w:hAnsi="Arial" w:eastAsia="宋体" w:cs="Arial"/>
          <w:sz w:val="24"/>
        </w:rPr>
        <w:t>是预后良好因素</w:t>
      </w:r>
      <w:r>
        <w:rPr>
          <w:rFonts w:ascii="Arial" w:hAnsi="Arial" w:eastAsia="宋体" w:cs="Arial"/>
          <w:sz w:val="24"/>
        </w:rPr>
        <w:t>。对于II区巨大淋巴结手术，充分暴露肿瘤上端，保护颈部重要大血管的处置非常关键，不但完整彻底切除病变，同时明显减少围手术期并发症。</w:t>
      </w:r>
    </w:p>
    <w:p w14:paraId="2538E253">
      <w:pPr>
        <w:spacing w:before="156" w:beforeLines="50" w:after="100" w:afterAutospacing="1" w:line="360" w:lineRule="auto"/>
        <w:contextualSpacing/>
        <w:rPr>
          <w:rFonts w:ascii="Arial" w:hAnsi="Arial" w:eastAsia="宋体" w:cs="Arial"/>
          <w:b/>
          <w:bCs/>
          <w:sz w:val="24"/>
        </w:rPr>
      </w:pPr>
      <w:r>
        <w:rPr>
          <w:rFonts w:hint="eastAsia" w:ascii="Arial" w:hAnsi="Arial" w:eastAsia="宋体" w:cs="Arial"/>
          <w:b/>
          <w:bCs/>
          <w:sz w:val="24"/>
        </w:rPr>
        <w:t>参考文献</w:t>
      </w:r>
    </w:p>
    <w:p w14:paraId="1BD28386">
      <w:pPr>
        <w:spacing w:before="156" w:beforeLines="50" w:after="100" w:afterAutospacing="1" w:line="360" w:lineRule="auto"/>
        <w:ind w:left="283" w:hanging="283" w:hangingChars="118"/>
        <w:contextualSpacing/>
        <w:rPr>
          <w:rFonts w:ascii="Arial" w:hAnsi="Arial" w:eastAsia="宋体" w:cs="Arial"/>
          <w:sz w:val="24"/>
        </w:rPr>
      </w:pPr>
      <w:r>
        <w:rPr>
          <w:rFonts w:ascii="Arial" w:hAnsi="Arial" w:eastAsia="宋体" w:cs="Arial"/>
          <w:sz w:val="24"/>
        </w:rPr>
        <w:t xml:space="preserve">[1] </w:t>
      </w:r>
      <w:r>
        <w:rPr>
          <w:rFonts w:ascii="Arial" w:hAnsi="Arial" w:eastAsia="宋体" w:cs="Arial"/>
          <w:color w:val="212121"/>
          <w:sz w:val="24"/>
          <w:shd w:val="clear" w:color="auto" w:fill="FFFFFF"/>
        </w:rPr>
        <w:t xml:space="preserve">Liu JH, Qi M, </w:t>
      </w:r>
      <w:r>
        <w:fldChar w:fldCharType="begin"/>
      </w:r>
      <w:r>
        <w:instrText xml:space="preserve"> HYPERLINK "https://pubmed.ncbi.nlm.nih.gov/?term=Huang+WH&amp;cauthor_id=37507673" </w:instrText>
      </w:r>
      <w:r>
        <w:fldChar w:fldCharType="separate"/>
      </w:r>
      <w:r>
        <w:rPr>
          <w:rFonts w:ascii="Arial" w:hAnsi="Arial" w:eastAsia="宋体" w:cs="Arial"/>
          <w:color w:val="212121"/>
          <w:sz w:val="24"/>
        </w:rPr>
        <w:t>Wen-Hu Huang</w:t>
      </w:r>
      <w:r>
        <w:rPr>
          <w:rFonts w:ascii="Arial" w:hAnsi="Arial" w:eastAsia="宋体" w:cs="Arial"/>
          <w:color w:val="212121"/>
          <w:sz w:val="24"/>
        </w:rPr>
        <w:fldChar w:fldCharType="end"/>
      </w:r>
      <w:r>
        <w:rPr>
          <w:rFonts w:ascii="Arial" w:hAnsi="Arial" w:eastAsia="宋体" w:cs="Arial"/>
          <w:color w:val="212121"/>
          <w:sz w:val="24"/>
          <w:shd w:val="clear" w:color="auto" w:fill="FFFFFF"/>
        </w:rPr>
        <w:t xml:space="preserve"> et al. </w:t>
      </w:r>
      <w:r>
        <w:rPr>
          <w:rFonts w:ascii="Arial" w:hAnsi="Arial" w:eastAsia="宋体" w:cs="Arial"/>
          <w:sz w:val="24"/>
        </w:rPr>
        <w:t xml:space="preserve">The magnetic resonance characteristics of sinonasal rhabdomyosarcoma in adults:  analysis of 27 cases and comparison with pathological subtypes. BMC Med Imaging. 2023,23(1):98. </w:t>
      </w:r>
    </w:p>
    <w:p w14:paraId="4FB62B91">
      <w:pPr>
        <w:spacing w:before="156" w:beforeLines="50" w:after="100" w:afterAutospacing="1" w:line="360" w:lineRule="auto"/>
        <w:ind w:left="283" w:hanging="283" w:hangingChars="118"/>
        <w:contextualSpacing/>
        <w:rPr>
          <w:rFonts w:ascii="Arial" w:hAnsi="Arial" w:eastAsia="宋体" w:cs="Arial"/>
          <w:sz w:val="24"/>
        </w:rPr>
      </w:pPr>
      <w:r>
        <w:rPr>
          <w:rFonts w:ascii="Arial" w:hAnsi="Arial" w:eastAsia="宋体" w:cs="Arial"/>
          <w:sz w:val="24"/>
        </w:rPr>
        <w:t>[2] Machavoine Ｒ，Helfre S，Bernier V，et al． Locoregional control and survival in children，adolescents，and young adults with localized head and neck alveolar rhabdomyosarcoma—the French experience［J］． Front Pediatr，2022，9:783754．</w:t>
      </w:r>
    </w:p>
    <w:p w14:paraId="7E01BA96">
      <w:pPr>
        <w:spacing w:before="156" w:beforeLines="50" w:after="100" w:afterAutospacing="1" w:line="360" w:lineRule="auto"/>
        <w:ind w:left="283" w:hanging="283" w:hangingChars="118"/>
        <w:contextualSpacing/>
        <w:rPr>
          <w:rFonts w:ascii="Arial" w:hAnsi="Arial" w:eastAsia="宋体" w:cs="Arial"/>
          <w:sz w:val="24"/>
        </w:rPr>
      </w:pPr>
      <w:r>
        <w:rPr>
          <w:rFonts w:ascii="Arial" w:hAnsi="Arial" w:eastAsia="宋体" w:cs="Arial"/>
          <w:sz w:val="24"/>
        </w:rPr>
        <w:t>[3] Skapek S X，Ferrari A，Gupta A A，et al． Rhabdomyosarcoma［J］． Nat Rev Dis Primers，2019，5(1) :1-19．</w:t>
      </w:r>
    </w:p>
    <w:p w14:paraId="46786E60">
      <w:pPr>
        <w:spacing w:before="156" w:beforeLines="50" w:after="100" w:afterAutospacing="1" w:line="360" w:lineRule="auto"/>
        <w:ind w:left="283" w:hanging="283" w:hangingChars="118"/>
        <w:contextualSpacing/>
        <w:rPr>
          <w:rFonts w:ascii="Arial" w:hAnsi="Arial" w:eastAsia="宋体" w:cs="Arial"/>
          <w:sz w:val="24"/>
        </w:rPr>
      </w:pPr>
      <w:r>
        <w:rPr>
          <w:rFonts w:ascii="Arial" w:hAnsi="Arial" w:eastAsia="宋体" w:cs="Arial"/>
          <w:sz w:val="24"/>
        </w:rPr>
        <w:t>[4]秦玲,李道明. 腺泡状横纹肌肉瘤 41例临床病理特征及预后分析. 临床与实验病理学杂志,2023,39(7):822-828.</w:t>
      </w:r>
    </w:p>
    <w:p w14:paraId="1176F7B1">
      <w:pPr>
        <w:spacing w:before="156" w:beforeLines="50" w:after="100" w:afterAutospacing="1" w:line="360" w:lineRule="auto"/>
        <w:contextualSpacing/>
        <w:rPr>
          <w:rFonts w:ascii="Arial" w:hAnsi="Arial" w:eastAsia="宋体" w:cs="Arial"/>
          <w:b/>
          <w:bCs/>
          <w:sz w:val="24"/>
        </w:rPr>
      </w:pPr>
      <w:r>
        <w:rPr>
          <w:rFonts w:ascii="Arial" w:hAnsi="Arial" w:eastAsia="宋体" w:cs="Arial"/>
          <w:b/>
          <w:bCs/>
          <w:sz w:val="24"/>
        </w:rPr>
        <w:t>3．附加材料</w:t>
      </w:r>
    </w:p>
    <w:p w14:paraId="6E3497BB">
      <w:pPr>
        <w:spacing w:after="100" w:afterAutospacing="1" w:line="360" w:lineRule="auto"/>
        <w:contextualSpacing/>
        <w:rPr>
          <w:rFonts w:hint="eastAsia" w:ascii="Arial" w:hAnsi="Arial" w:eastAsia="宋体" w:cs="Arial"/>
          <w:sz w:val="24"/>
        </w:rPr>
      </w:pPr>
      <w:r>
        <w:rPr>
          <w:rFonts w:hint="eastAsia" w:ascii="Arial" w:hAnsi="Arial" w:eastAsia="宋体" w:cs="Arial"/>
          <w:sz w:val="24"/>
        </w:rPr>
        <w:t>病案首页、查房意见、检查化验等（略）</w:t>
      </w:r>
    </w:p>
    <w:p w14:paraId="4566589C">
      <w:pPr>
        <w:pStyle w:val="2"/>
        <w:rPr>
          <w:rFonts w:hint="eastAsia" w:ascii="Arial" w:hAnsi="Arial" w:eastAsia="宋体" w:cs="Arial"/>
          <w:sz w:val="24"/>
        </w:rPr>
      </w:pPr>
    </w:p>
    <w:p w14:paraId="62456285">
      <w:pPr>
        <w:jc w:val="center"/>
        <w:rPr>
          <w:rFonts w:ascii="黑体" w:hAnsi="黑体" w:eastAsia="黑体" w:cs="黑体"/>
          <w:sz w:val="32"/>
          <w:szCs w:val="21"/>
        </w:rPr>
      </w:pPr>
      <w:r>
        <w:rPr>
          <w:rFonts w:hint="eastAsia" w:ascii="黑体" w:hAnsi="黑体" w:eastAsia="黑体" w:cs="黑体"/>
          <w:sz w:val="32"/>
          <w:szCs w:val="21"/>
        </w:rPr>
        <w:t>基层全科病案报告模板（非急症病例）</w:t>
      </w:r>
    </w:p>
    <w:tbl>
      <w:tblPr>
        <w:tblStyle w:val="13"/>
        <w:tblpPr w:leftFromText="180" w:rightFromText="180" w:vertAnchor="text" w:horzAnchor="page" w:tblpX="844" w:tblpY="308"/>
        <w:tblOverlap w:val="never"/>
        <w:tblW w:w="10201"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29"/>
        <w:gridCol w:w="4962"/>
        <w:gridCol w:w="4110"/>
      </w:tblGrid>
      <w:tr w14:paraId="2DC7CB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5" w:hRule="atLeast"/>
        </w:trPr>
        <w:tc>
          <w:tcPr>
            <w:tcW w:w="1129" w:type="dxa"/>
            <w:vAlign w:val="center"/>
          </w:tcPr>
          <w:p w14:paraId="63E7D6AA">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内容</w:t>
            </w:r>
          </w:p>
        </w:tc>
        <w:tc>
          <w:tcPr>
            <w:tcW w:w="4962" w:type="dxa"/>
            <w:vAlign w:val="center"/>
          </w:tcPr>
          <w:p w14:paraId="3C0910ED">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写作要点</w:t>
            </w:r>
          </w:p>
        </w:tc>
        <w:tc>
          <w:tcPr>
            <w:tcW w:w="4110" w:type="dxa"/>
            <w:vAlign w:val="center"/>
          </w:tcPr>
          <w:p w14:paraId="0E26216B">
            <w:pPr>
              <w:ind w:right="2442" w:rightChars="1163"/>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备注说明</w:t>
            </w:r>
          </w:p>
        </w:tc>
      </w:tr>
      <w:tr w14:paraId="45E8A3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2" w:hRule="atLeast"/>
        </w:trPr>
        <w:tc>
          <w:tcPr>
            <w:tcW w:w="1129" w:type="dxa"/>
            <w:vAlign w:val="center"/>
          </w:tcPr>
          <w:p w14:paraId="11E65999">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题目</w:t>
            </w:r>
          </w:p>
        </w:tc>
        <w:tc>
          <w:tcPr>
            <w:tcW w:w="4962" w:type="dxa"/>
          </w:tcPr>
          <w:p w14:paraId="52C88400">
            <w:pPr>
              <w:rPr>
                <w:rFonts w:asciiTheme="minorEastAsia" w:hAnsiTheme="minorEastAsia" w:cstheme="minorEastAsia"/>
                <w:sz w:val="18"/>
                <w:szCs w:val="18"/>
              </w:rPr>
            </w:pPr>
            <w:r>
              <w:rPr>
                <w:rFonts w:hint="eastAsia" w:asciiTheme="minorEastAsia" w:hAnsiTheme="minorEastAsia" w:cstheme="minorEastAsia"/>
                <w:sz w:val="18"/>
                <w:szCs w:val="18"/>
              </w:rPr>
              <w:t>□题目应体现研究类型为“病案报告”</w:t>
            </w:r>
          </w:p>
          <w:p w14:paraId="3C4B7628">
            <w:pPr>
              <w:rPr>
                <w:rFonts w:asciiTheme="minorEastAsia" w:hAnsiTheme="minorEastAsia" w:cstheme="minorEastAsia"/>
                <w:sz w:val="18"/>
                <w:szCs w:val="18"/>
              </w:rPr>
            </w:pPr>
            <w:r>
              <w:rPr>
                <w:rFonts w:hint="eastAsia" w:asciiTheme="minorEastAsia" w:hAnsiTheme="minorEastAsia" w:cstheme="minorEastAsia"/>
                <w:sz w:val="18"/>
                <w:szCs w:val="18"/>
              </w:rPr>
              <w:t>□题目可选“【几】例（案、则）/【特殊性】/【疾病名称】/【疑难】/【病案报告】（个案/报告）”</w:t>
            </w:r>
          </w:p>
        </w:tc>
        <w:tc>
          <w:tcPr>
            <w:tcW w:w="4110" w:type="dxa"/>
          </w:tcPr>
          <w:p w14:paraId="41A5D379">
            <w:pPr>
              <w:jc w:val="left"/>
              <w:rPr>
                <w:rFonts w:asciiTheme="minorEastAsia" w:hAnsiTheme="minorEastAsia" w:cstheme="minorEastAsia"/>
                <w:sz w:val="18"/>
                <w:szCs w:val="18"/>
              </w:rPr>
            </w:pPr>
            <w:r>
              <w:rPr>
                <w:rFonts w:hint="eastAsia" w:asciiTheme="minorEastAsia" w:hAnsiTheme="minorEastAsia" w:cstheme="minorEastAsia"/>
                <w:sz w:val="18"/>
                <w:szCs w:val="18"/>
              </w:rPr>
              <w:t>必填，少于20字，不使用外文缩写词，需体现病例的特殊性和研究重点。</w:t>
            </w:r>
          </w:p>
        </w:tc>
      </w:tr>
      <w:tr w14:paraId="52045A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5" w:hRule="atLeast"/>
        </w:trPr>
        <w:tc>
          <w:tcPr>
            <w:tcW w:w="1129" w:type="dxa"/>
            <w:vAlign w:val="center"/>
          </w:tcPr>
          <w:p w14:paraId="49353A8F">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作者署名及其单位</w:t>
            </w:r>
          </w:p>
        </w:tc>
        <w:tc>
          <w:tcPr>
            <w:tcW w:w="4962" w:type="dxa"/>
          </w:tcPr>
          <w:p w14:paraId="2CB09E1A">
            <w:pPr>
              <w:rPr>
                <w:rFonts w:asciiTheme="minorEastAsia" w:hAnsiTheme="minorEastAsia" w:cstheme="minorEastAsia"/>
                <w:sz w:val="18"/>
                <w:szCs w:val="18"/>
              </w:rPr>
            </w:pPr>
            <w:r>
              <w:rPr>
                <w:rFonts w:hint="eastAsia" w:asciiTheme="minorEastAsia" w:hAnsiTheme="minorEastAsia" w:cstheme="minorEastAsia"/>
                <w:sz w:val="18"/>
                <w:szCs w:val="18"/>
              </w:rPr>
              <w:t>□申报人姓名采用姓在前、名在后</w:t>
            </w:r>
          </w:p>
          <w:p w14:paraId="3E212BEB">
            <w:pPr>
              <w:rPr>
                <w:rFonts w:asciiTheme="minorEastAsia" w:hAnsiTheme="minorEastAsia" w:cstheme="minorEastAsia"/>
                <w:sz w:val="18"/>
                <w:szCs w:val="18"/>
              </w:rPr>
            </w:pPr>
            <w:r>
              <w:rPr>
                <w:rFonts w:hint="eastAsia" w:asciiTheme="minorEastAsia" w:hAnsiTheme="minorEastAsia" w:cstheme="minorEastAsia"/>
                <w:sz w:val="18"/>
                <w:szCs w:val="18"/>
              </w:rPr>
              <w:t>□申报人单位填写职称申报单位（如：XX医院，XX大学附属医院，XX中心），具体到二级机构（如XX科室，XX部门）</w:t>
            </w:r>
          </w:p>
          <w:p w14:paraId="2FDD07B6">
            <w:pPr>
              <w:rPr>
                <w:rFonts w:asciiTheme="minorEastAsia" w:hAnsiTheme="minorEastAsia" w:cstheme="minorEastAsia"/>
                <w:sz w:val="18"/>
                <w:szCs w:val="18"/>
              </w:rPr>
            </w:pPr>
            <w:r>
              <w:rPr>
                <w:rFonts w:hint="eastAsia" w:asciiTheme="minorEastAsia" w:hAnsiTheme="minorEastAsia" w:cstheme="minorEastAsia"/>
                <w:sz w:val="18"/>
                <w:szCs w:val="18"/>
                <w:lang w:eastAsia="zh-CN"/>
              </w:rPr>
              <w:t>□</w:t>
            </w:r>
            <w:r>
              <w:rPr>
                <w:rFonts w:hint="eastAsia" w:asciiTheme="minorEastAsia" w:hAnsiTheme="minorEastAsia" w:cstheme="minorEastAsia"/>
                <w:sz w:val="18"/>
                <w:szCs w:val="18"/>
              </w:rPr>
              <w:t>写明申报人目前职称、专业及拟申报职称、专业</w:t>
            </w:r>
          </w:p>
        </w:tc>
        <w:tc>
          <w:tcPr>
            <w:tcW w:w="4110" w:type="dxa"/>
          </w:tcPr>
          <w:p w14:paraId="38C8FD53">
            <w:pPr>
              <w:jc w:val="left"/>
              <w:rPr>
                <w:rFonts w:asciiTheme="minorEastAsia" w:hAnsiTheme="minorEastAsia" w:cstheme="minorEastAsia"/>
                <w:sz w:val="18"/>
                <w:szCs w:val="18"/>
              </w:rPr>
            </w:pPr>
            <w:r>
              <w:rPr>
                <w:rFonts w:hint="eastAsia" w:asciiTheme="minorEastAsia" w:hAnsiTheme="minorEastAsia" w:cstheme="minorEastAsia"/>
                <w:sz w:val="18"/>
                <w:szCs w:val="18"/>
              </w:rPr>
              <w:t>必填，单位名称需官方准确。</w:t>
            </w:r>
          </w:p>
        </w:tc>
      </w:tr>
      <w:tr w14:paraId="5D089B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1129" w:type="dxa"/>
            <w:vAlign w:val="center"/>
          </w:tcPr>
          <w:p w14:paraId="53EEA5A6">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引言</w:t>
            </w:r>
          </w:p>
        </w:tc>
        <w:tc>
          <w:tcPr>
            <w:tcW w:w="4962" w:type="dxa"/>
          </w:tcPr>
          <w:p w14:paraId="7BF64DD1">
            <w:pPr>
              <w:rPr>
                <w:rFonts w:asciiTheme="minorEastAsia" w:hAnsiTheme="minorEastAsia" w:cstheme="minorEastAsia"/>
                <w:sz w:val="18"/>
                <w:szCs w:val="18"/>
              </w:rPr>
            </w:pPr>
            <w:r>
              <w:rPr>
                <w:rFonts w:hint="eastAsia" w:asciiTheme="minorEastAsia" w:hAnsiTheme="minorEastAsia" w:cstheme="minorEastAsia"/>
                <w:sz w:val="18"/>
                <w:szCs w:val="18"/>
              </w:rPr>
              <w:t>□简要总结该病例的背景情况，该病例的特殊性</w:t>
            </w:r>
          </w:p>
          <w:p w14:paraId="69EDDE92">
            <w:pPr>
              <w:rPr>
                <w:rFonts w:asciiTheme="minorEastAsia" w:hAnsiTheme="minorEastAsia" w:cstheme="minorEastAsia"/>
                <w:sz w:val="18"/>
                <w:szCs w:val="18"/>
              </w:rPr>
            </w:pPr>
            <w:r>
              <w:rPr>
                <w:rFonts w:hint="eastAsia" w:asciiTheme="minorEastAsia" w:hAnsiTheme="minorEastAsia" w:cstheme="minorEastAsia"/>
                <w:sz w:val="18"/>
                <w:szCs w:val="18"/>
              </w:rPr>
              <w:t>□撰写本病案报告的必要性</w:t>
            </w:r>
          </w:p>
          <w:p w14:paraId="78344FAE">
            <w:pPr>
              <w:rPr>
                <w:rFonts w:asciiTheme="minorEastAsia" w:hAnsiTheme="minorEastAsia" w:cstheme="minorEastAsia"/>
                <w:sz w:val="18"/>
                <w:szCs w:val="18"/>
              </w:rPr>
            </w:pPr>
            <w:r>
              <w:rPr>
                <w:rFonts w:hint="eastAsia" w:asciiTheme="minorEastAsia" w:hAnsiTheme="minorEastAsia" w:cstheme="minorEastAsia"/>
                <w:sz w:val="18"/>
                <w:szCs w:val="18"/>
              </w:rPr>
              <w:t>□本病例当前的诊疗标准以及本病例的贡献或特性，来源和出处可标注参考文献</w:t>
            </w:r>
          </w:p>
        </w:tc>
        <w:tc>
          <w:tcPr>
            <w:tcW w:w="4110" w:type="dxa"/>
          </w:tcPr>
          <w:p w14:paraId="3196D954">
            <w:pPr>
              <w:tabs>
                <w:tab w:val="left" w:pos="3150"/>
              </w:tabs>
              <w:jc w:val="left"/>
              <w:rPr>
                <w:rFonts w:asciiTheme="minorEastAsia" w:hAnsiTheme="minorEastAsia" w:cstheme="minorEastAsia"/>
                <w:sz w:val="18"/>
                <w:szCs w:val="18"/>
              </w:rPr>
            </w:pPr>
            <w:r>
              <w:rPr>
                <w:rFonts w:hint="eastAsia" w:asciiTheme="minorEastAsia" w:hAnsiTheme="minorEastAsia" w:cstheme="minorEastAsia"/>
                <w:sz w:val="18"/>
                <w:szCs w:val="18"/>
              </w:rPr>
              <w:t>必填，200字以内，客观描述。</w:t>
            </w:r>
          </w:p>
        </w:tc>
      </w:tr>
      <w:tr w14:paraId="7062E7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6" w:hRule="atLeast"/>
        </w:trPr>
        <w:tc>
          <w:tcPr>
            <w:tcW w:w="10201" w:type="dxa"/>
            <w:gridSpan w:val="3"/>
            <w:vAlign w:val="center"/>
          </w:tcPr>
          <w:p w14:paraId="536A4CC1">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1</w:t>
            </w:r>
            <w:r>
              <w:rPr>
                <w:rFonts w:asciiTheme="minorEastAsia" w:hAnsiTheme="minorEastAsia" w:cstheme="minorEastAsia"/>
                <w:b/>
                <w:bCs/>
                <w:sz w:val="18"/>
                <w:szCs w:val="18"/>
              </w:rPr>
              <w:t>.</w:t>
            </w:r>
            <w:r>
              <w:rPr>
                <w:rFonts w:hint="eastAsia" w:asciiTheme="minorEastAsia" w:hAnsiTheme="minorEastAsia" w:cstheme="minorEastAsia"/>
                <w:b/>
                <w:bCs/>
                <w:sz w:val="18"/>
                <w:szCs w:val="18"/>
              </w:rPr>
              <w:t>病例资料</w:t>
            </w:r>
          </w:p>
        </w:tc>
      </w:tr>
      <w:tr w14:paraId="7945C2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8" w:hRule="atLeast"/>
        </w:trPr>
        <w:tc>
          <w:tcPr>
            <w:tcW w:w="1129" w:type="dxa"/>
            <w:vAlign w:val="center"/>
          </w:tcPr>
          <w:p w14:paraId="5FEF5BD8">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 xml:space="preserve">1.1 </w:t>
            </w:r>
          </w:p>
          <w:p w14:paraId="5B686E70">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 xml:space="preserve">S  （Subjective data   主观资料） </w:t>
            </w:r>
          </w:p>
          <w:p w14:paraId="6D040FB3">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 xml:space="preserve">   </w:t>
            </w:r>
          </w:p>
        </w:tc>
        <w:tc>
          <w:tcPr>
            <w:tcW w:w="4962" w:type="dxa"/>
          </w:tcPr>
          <w:p w14:paraId="557DA28F">
            <w:pPr>
              <w:rPr>
                <w:rFonts w:asciiTheme="minorEastAsia" w:hAnsiTheme="minorEastAsia" w:cstheme="minorEastAsia"/>
                <w:sz w:val="18"/>
                <w:szCs w:val="18"/>
              </w:rPr>
            </w:pPr>
            <w:r>
              <w:rPr>
                <w:rFonts w:hint="eastAsia" w:asciiTheme="minorEastAsia" w:hAnsiTheme="minorEastAsia" w:cstheme="minorEastAsia"/>
                <w:sz w:val="18"/>
                <w:szCs w:val="18"/>
              </w:rPr>
              <w:t>□患者人口学信息、病历号、出入院时间/接诊时间及其他</w:t>
            </w:r>
          </w:p>
          <w:p w14:paraId="05A38AC1">
            <w:pPr>
              <w:rPr>
                <w:rFonts w:asciiTheme="minorEastAsia" w:hAnsiTheme="minorEastAsia" w:cstheme="minorEastAsia"/>
                <w:sz w:val="18"/>
                <w:szCs w:val="18"/>
              </w:rPr>
            </w:pPr>
            <w:r>
              <w:rPr>
                <w:rFonts w:hint="eastAsia" w:asciiTheme="minorEastAsia" w:hAnsiTheme="minorEastAsia" w:cstheme="minorEastAsia"/>
                <w:sz w:val="18"/>
                <w:szCs w:val="18"/>
              </w:rPr>
              <w:t>□主诉：促使患者本次就诊的主要症状</w:t>
            </w:r>
          </w:p>
          <w:p w14:paraId="65904CA1">
            <w:pPr>
              <w:rPr>
                <w:rFonts w:asciiTheme="minorEastAsia" w:hAnsiTheme="minorEastAsia" w:cstheme="minorEastAsia"/>
                <w:sz w:val="18"/>
                <w:szCs w:val="18"/>
              </w:rPr>
            </w:pPr>
            <w:r>
              <w:rPr>
                <w:rFonts w:hint="eastAsia" w:asciiTheme="minorEastAsia" w:hAnsiTheme="minorEastAsia" w:cstheme="minorEastAsia"/>
                <w:sz w:val="18"/>
                <w:szCs w:val="18"/>
              </w:rPr>
              <w:t>□现病史：按时间顺序、以时间轴为纲对本病例的主要症状和诊疗过程进行描述</w:t>
            </w:r>
          </w:p>
          <w:p w14:paraId="7BFB8D13">
            <w:pPr>
              <w:rPr>
                <w:rFonts w:asciiTheme="minorEastAsia" w:hAnsiTheme="minorEastAsia" w:cstheme="minorEastAsia"/>
                <w:sz w:val="18"/>
                <w:szCs w:val="18"/>
              </w:rPr>
            </w:pPr>
            <w:r>
              <w:rPr>
                <w:rFonts w:hint="eastAsia" w:asciiTheme="minorEastAsia" w:hAnsiTheme="minorEastAsia" w:cstheme="minorEastAsia"/>
                <w:sz w:val="18"/>
                <w:szCs w:val="18"/>
              </w:rPr>
              <w:t>□既往史：家族史，手术史，心理状况，遗传信息、流行病学史等，包括既往干预措施和结果</w:t>
            </w:r>
          </w:p>
          <w:p w14:paraId="3588B527">
            <w:pPr>
              <w:rPr>
                <w:rFonts w:asciiTheme="minorEastAsia" w:hAnsiTheme="minorEastAsia" w:cstheme="minorEastAsia"/>
                <w:sz w:val="18"/>
                <w:szCs w:val="18"/>
              </w:rPr>
            </w:pPr>
            <w:r>
              <w:rPr>
                <w:rFonts w:hint="eastAsia" w:asciiTheme="minorEastAsia" w:hAnsiTheme="minorEastAsia" w:cstheme="minorEastAsia"/>
                <w:sz w:val="18"/>
                <w:szCs w:val="18"/>
              </w:rPr>
              <w:t>□生活习惯：生活方式</w:t>
            </w:r>
          </w:p>
        </w:tc>
        <w:tc>
          <w:tcPr>
            <w:tcW w:w="4110" w:type="dxa"/>
          </w:tcPr>
          <w:p w14:paraId="5A2C84DC">
            <w:pPr>
              <w:jc w:val="left"/>
              <w:rPr>
                <w:rFonts w:asciiTheme="minorEastAsia" w:hAnsiTheme="minorEastAsia" w:cstheme="minorEastAsia"/>
                <w:sz w:val="18"/>
                <w:szCs w:val="18"/>
              </w:rPr>
            </w:pPr>
            <w:r>
              <w:rPr>
                <w:rFonts w:hint="eastAsia" w:asciiTheme="minorEastAsia" w:hAnsiTheme="minorEastAsia" w:cstheme="minorEastAsia"/>
                <w:sz w:val="18"/>
                <w:szCs w:val="18"/>
              </w:rPr>
              <w:t>必填，不超过400字，详细、准确，可以辅助图、表，保护患者隐私，注意信息的时效性和完整性。</w:t>
            </w:r>
          </w:p>
        </w:tc>
      </w:tr>
      <w:tr w14:paraId="4826C8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67" w:hRule="atLeast"/>
        </w:trPr>
        <w:tc>
          <w:tcPr>
            <w:tcW w:w="1129" w:type="dxa"/>
            <w:vAlign w:val="center"/>
          </w:tcPr>
          <w:p w14:paraId="20560D2D">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 xml:space="preserve">1.2 </w:t>
            </w:r>
          </w:p>
          <w:p w14:paraId="47AB21FE">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O  （Objective data   客观资料）</w:t>
            </w:r>
          </w:p>
          <w:p w14:paraId="1B62D709">
            <w:pPr>
              <w:jc w:val="center"/>
              <w:rPr>
                <w:rFonts w:asciiTheme="minorEastAsia" w:hAnsiTheme="minorEastAsia" w:cstheme="minorEastAsia"/>
                <w:b/>
                <w:bCs/>
                <w:sz w:val="18"/>
                <w:szCs w:val="18"/>
              </w:rPr>
            </w:pPr>
          </w:p>
        </w:tc>
        <w:tc>
          <w:tcPr>
            <w:tcW w:w="4962" w:type="dxa"/>
          </w:tcPr>
          <w:p w14:paraId="1DEC4349">
            <w:pPr>
              <w:rPr>
                <w:rFonts w:asciiTheme="minorEastAsia" w:hAnsiTheme="minorEastAsia" w:cstheme="minorEastAsia"/>
                <w:b/>
                <w:bCs/>
                <w:sz w:val="18"/>
                <w:szCs w:val="18"/>
              </w:rPr>
            </w:pPr>
            <w:r>
              <w:rPr>
                <w:rFonts w:asciiTheme="minorEastAsia" w:hAnsiTheme="minorEastAsia" w:cstheme="minorEastAsia"/>
                <w:b/>
                <w:bCs/>
                <w:sz w:val="18"/>
                <w:szCs w:val="18"/>
              </w:rPr>
              <w:t>1.2.1</w:t>
            </w:r>
            <w:r>
              <w:rPr>
                <w:rFonts w:hint="eastAsia" w:asciiTheme="minorEastAsia" w:hAnsiTheme="minorEastAsia" w:cstheme="minorEastAsia"/>
                <w:b/>
                <w:bCs/>
                <w:sz w:val="18"/>
                <w:szCs w:val="18"/>
              </w:rPr>
              <w:t>体格检查</w:t>
            </w:r>
          </w:p>
          <w:p w14:paraId="02148028">
            <w:pPr>
              <w:rPr>
                <w:rFonts w:asciiTheme="minorEastAsia" w:hAnsiTheme="minorEastAsia" w:cstheme="minorEastAsia"/>
                <w:sz w:val="18"/>
                <w:szCs w:val="18"/>
              </w:rPr>
            </w:pPr>
            <w:r>
              <w:rPr>
                <w:rFonts w:hint="eastAsia" w:asciiTheme="minorEastAsia" w:hAnsiTheme="minorEastAsia" w:cstheme="minorEastAsia"/>
                <w:sz w:val="18"/>
                <w:szCs w:val="18"/>
              </w:rPr>
              <w:t>□描述患者的体格检查发现</w:t>
            </w:r>
          </w:p>
          <w:p w14:paraId="2F3ED588">
            <w:pPr>
              <w:rPr>
                <w:rFonts w:asciiTheme="minorEastAsia" w:hAnsiTheme="minorEastAsia" w:cstheme="minorEastAsia"/>
                <w:sz w:val="18"/>
                <w:szCs w:val="18"/>
              </w:rPr>
            </w:pPr>
            <w:r>
              <w:rPr>
                <w:rFonts w:hint="eastAsia" w:asciiTheme="minorEastAsia" w:hAnsiTheme="minorEastAsia" w:cstheme="minorEastAsia"/>
                <w:sz w:val="18"/>
                <w:szCs w:val="18"/>
              </w:rPr>
              <w:t>□西医表述（视、触、叩、听）</w:t>
            </w:r>
          </w:p>
          <w:p w14:paraId="0E637CDE">
            <w:pPr>
              <w:rPr>
                <w:rFonts w:asciiTheme="minorEastAsia" w:hAnsiTheme="minorEastAsia" w:cstheme="minorEastAsia"/>
                <w:sz w:val="18"/>
                <w:szCs w:val="18"/>
              </w:rPr>
            </w:pPr>
            <w:r>
              <w:rPr>
                <w:rFonts w:hint="eastAsia" w:asciiTheme="minorEastAsia" w:hAnsiTheme="minorEastAsia" w:cstheme="minorEastAsia"/>
                <w:sz w:val="18"/>
                <w:szCs w:val="18"/>
              </w:rPr>
              <w:t>□中医表述（望、闻、切）（中医专业填写）</w:t>
            </w:r>
          </w:p>
          <w:p w14:paraId="78ADB67B">
            <w:pPr>
              <w:rPr>
                <w:rFonts w:asciiTheme="minorEastAsia" w:hAnsiTheme="minorEastAsia" w:cstheme="minorEastAsia"/>
                <w:b/>
                <w:bCs/>
                <w:sz w:val="18"/>
                <w:szCs w:val="18"/>
              </w:rPr>
            </w:pPr>
            <w:r>
              <w:rPr>
                <w:rFonts w:hint="eastAsia" w:asciiTheme="minorEastAsia" w:hAnsiTheme="minorEastAsia" w:cstheme="minorEastAsia"/>
                <w:b/>
                <w:bCs/>
                <w:sz w:val="18"/>
                <w:szCs w:val="18"/>
              </w:rPr>
              <w:t>1</w:t>
            </w:r>
            <w:r>
              <w:rPr>
                <w:rFonts w:asciiTheme="minorEastAsia" w:hAnsiTheme="minorEastAsia" w:cstheme="minorEastAsia"/>
                <w:b/>
                <w:bCs/>
                <w:sz w:val="18"/>
                <w:szCs w:val="18"/>
              </w:rPr>
              <w:t>.2.2</w:t>
            </w:r>
            <w:r>
              <w:rPr>
                <w:rFonts w:hint="eastAsia" w:asciiTheme="minorEastAsia" w:hAnsiTheme="minorEastAsia" w:cstheme="minorEastAsia"/>
                <w:b/>
                <w:bCs/>
                <w:sz w:val="18"/>
                <w:szCs w:val="18"/>
              </w:rPr>
              <w:t>辅助检查</w:t>
            </w:r>
          </w:p>
          <w:p w14:paraId="01899BF8">
            <w:pPr>
              <w:rPr>
                <w:rFonts w:asciiTheme="minorEastAsia" w:hAnsiTheme="minorEastAsia" w:cstheme="minorEastAsia"/>
                <w:sz w:val="18"/>
                <w:szCs w:val="18"/>
              </w:rPr>
            </w:pPr>
            <w:r>
              <w:rPr>
                <w:rFonts w:hint="eastAsia" w:asciiTheme="minorEastAsia" w:hAnsiTheme="minorEastAsia" w:cstheme="minorEastAsia"/>
                <w:sz w:val="18"/>
                <w:szCs w:val="18"/>
              </w:rPr>
              <w:t>□实验室检查、影像学检查等结果</w:t>
            </w:r>
          </w:p>
          <w:p w14:paraId="662D2A18">
            <w:pPr>
              <w:rPr>
                <w:rFonts w:asciiTheme="minorEastAsia" w:hAnsiTheme="minorEastAsia" w:cstheme="minorEastAsia"/>
                <w:b/>
                <w:sz w:val="18"/>
                <w:szCs w:val="18"/>
              </w:rPr>
            </w:pPr>
            <w:r>
              <w:rPr>
                <w:rFonts w:asciiTheme="minorEastAsia" w:hAnsiTheme="minorEastAsia" w:cstheme="minorEastAsia"/>
                <w:b/>
                <w:sz w:val="18"/>
                <w:szCs w:val="18"/>
              </w:rPr>
              <w:t>1.2.3</w:t>
            </w:r>
            <w:r>
              <w:rPr>
                <w:rFonts w:hint="eastAsia" w:asciiTheme="minorEastAsia" w:hAnsiTheme="minorEastAsia" w:cstheme="minorEastAsia"/>
                <w:b/>
                <w:sz w:val="18"/>
                <w:szCs w:val="18"/>
              </w:rPr>
              <w:t>评估内容</w:t>
            </w:r>
          </w:p>
          <w:p w14:paraId="45B7DE18">
            <w:pPr>
              <w:rPr>
                <w:rFonts w:asciiTheme="minorEastAsia" w:hAnsiTheme="minorEastAsia" w:cstheme="minorEastAsia"/>
                <w:sz w:val="18"/>
                <w:szCs w:val="18"/>
              </w:rPr>
            </w:pPr>
            <w:r>
              <w:rPr>
                <w:rFonts w:hint="eastAsia" w:asciiTheme="minorEastAsia" w:hAnsiTheme="minorEastAsia" w:cstheme="minorEastAsia"/>
                <w:sz w:val="18"/>
                <w:szCs w:val="18"/>
              </w:rPr>
              <w:t>□相应的评估内容，及其对应的临床测量量表（公认的量表名称、量表测量数值和结果）</w:t>
            </w:r>
          </w:p>
        </w:tc>
        <w:tc>
          <w:tcPr>
            <w:tcW w:w="4110" w:type="dxa"/>
          </w:tcPr>
          <w:p w14:paraId="036C90D5">
            <w:pPr>
              <w:jc w:val="left"/>
              <w:rPr>
                <w:rFonts w:asciiTheme="minorEastAsia" w:hAnsiTheme="minorEastAsia" w:cstheme="minorEastAsia"/>
                <w:sz w:val="18"/>
                <w:szCs w:val="18"/>
              </w:rPr>
            </w:pPr>
            <w:r>
              <w:rPr>
                <w:rFonts w:hint="eastAsia" w:asciiTheme="minorEastAsia" w:hAnsiTheme="minorEastAsia" w:cstheme="minorEastAsia"/>
                <w:sz w:val="18"/>
                <w:szCs w:val="18"/>
              </w:rPr>
              <w:t>必填，不超过</w:t>
            </w:r>
            <w:r>
              <w:rPr>
                <w:rFonts w:asciiTheme="minorEastAsia" w:hAnsiTheme="minorEastAsia" w:cstheme="minorEastAsia"/>
                <w:sz w:val="18"/>
                <w:szCs w:val="18"/>
              </w:rPr>
              <w:t>400</w:t>
            </w:r>
            <w:r>
              <w:rPr>
                <w:rFonts w:hint="eastAsia" w:asciiTheme="minorEastAsia" w:hAnsiTheme="minorEastAsia" w:cstheme="minorEastAsia"/>
                <w:sz w:val="18"/>
                <w:szCs w:val="18"/>
              </w:rPr>
              <w:t>字，阳性发现和重要的阴性体征,重要辅助检查结果和量表。</w:t>
            </w:r>
          </w:p>
        </w:tc>
      </w:tr>
      <w:tr w14:paraId="659769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6" w:hRule="atLeast"/>
        </w:trPr>
        <w:tc>
          <w:tcPr>
            <w:tcW w:w="1129" w:type="dxa"/>
            <w:vAlign w:val="center"/>
          </w:tcPr>
          <w:p w14:paraId="35A4CDAF">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1</w:t>
            </w:r>
            <w:r>
              <w:rPr>
                <w:rFonts w:asciiTheme="minorEastAsia" w:hAnsiTheme="minorEastAsia" w:cstheme="minorEastAsia"/>
                <w:b/>
                <w:bCs/>
                <w:sz w:val="18"/>
                <w:szCs w:val="18"/>
              </w:rPr>
              <w:t>.3</w:t>
            </w:r>
          </w:p>
          <w:p w14:paraId="600897F9">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 xml:space="preserve">A  （Assesment    对健康问题的评估）  </w:t>
            </w:r>
          </w:p>
        </w:tc>
        <w:tc>
          <w:tcPr>
            <w:tcW w:w="4962" w:type="dxa"/>
          </w:tcPr>
          <w:p w14:paraId="3EAD3CE9">
            <w:pPr>
              <w:rPr>
                <w:rFonts w:asciiTheme="minorEastAsia" w:hAnsiTheme="minorEastAsia" w:cstheme="minorEastAsia"/>
                <w:b/>
                <w:sz w:val="18"/>
                <w:szCs w:val="18"/>
              </w:rPr>
            </w:pPr>
            <w:r>
              <w:rPr>
                <w:rFonts w:asciiTheme="minorEastAsia" w:hAnsiTheme="minorEastAsia" w:cstheme="minorEastAsia"/>
                <w:b/>
                <w:sz w:val="18"/>
                <w:szCs w:val="18"/>
              </w:rPr>
              <w:t>1.3.1</w:t>
            </w:r>
            <w:r>
              <w:rPr>
                <w:rFonts w:hint="eastAsia" w:asciiTheme="minorEastAsia" w:hAnsiTheme="minorEastAsia" w:cstheme="minorEastAsia"/>
                <w:b/>
                <w:sz w:val="18"/>
                <w:szCs w:val="18"/>
              </w:rPr>
              <w:t>初步诊断</w:t>
            </w:r>
          </w:p>
          <w:p w14:paraId="01DE943B">
            <w:pPr>
              <w:rPr>
                <w:rFonts w:asciiTheme="minorEastAsia" w:hAnsiTheme="minorEastAsia" w:cstheme="minorEastAsia"/>
                <w:sz w:val="18"/>
                <w:szCs w:val="18"/>
              </w:rPr>
            </w:pPr>
            <w:r>
              <w:rPr>
                <w:rFonts w:hint="eastAsia" w:asciiTheme="minorEastAsia" w:hAnsiTheme="minorEastAsia" w:cstheme="minorEastAsia"/>
                <w:sz w:val="18"/>
                <w:szCs w:val="18"/>
              </w:rPr>
              <w:t>□诊断依据及方法：包括实验室检查，影像学检查等</w:t>
            </w:r>
          </w:p>
          <w:p w14:paraId="33E68724">
            <w:pPr>
              <w:rPr>
                <w:rFonts w:asciiTheme="minorEastAsia" w:hAnsiTheme="minorEastAsia" w:cstheme="minorEastAsia"/>
                <w:b/>
                <w:sz w:val="18"/>
                <w:szCs w:val="18"/>
              </w:rPr>
            </w:pPr>
            <w:r>
              <w:rPr>
                <w:rFonts w:asciiTheme="minorEastAsia" w:hAnsiTheme="minorEastAsia" w:cstheme="minorEastAsia"/>
                <w:b/>
                <w:sz w:val="18"/>
                <w:szCs w:val="18"/>
              </w:rPr>
              <w:t>1.3.2</w:t>
            </w:r>
            <w:r>
              <w:rPr>
                <w:rFonts w:hint="eastAsia" w:asciiTheme="minorEastAsia" w:hAnsiTheme="minorEastAsia" w:cstheme="minorEastAsia"/>
                <w:b/>
                <w:sz w:val="18"/>
                <w:szCs w:val="18"/>
              </w:rPr>
              <w:t>鉴别诊断</w:t>
            </w:r>
          </w:p>
          <w:p w14:paraId="58697A67">
            <w:pPr>
              <w:rPr>
                <w:rFonts w:asciiTheme="minorEastAsia" w:hAnsiTheme="minorEastAsia" w:cstheme="minorEastAsia"/>
                <w:sz w:val="18"/>
                <w:szCs w:val="18"/>
              </w:rPr>
            </w:pPr>
            <w:r>
              <w:rPr>
                <w:rFonts w:hint="eastAsia" w:asciiTheme="minorEastAsia" w:hAnsiTheme="minorEastAsia" w:cstheme="minorEastAsia"/>
                <w:sz w:val="18"/>
                <w:szCs w:val="18"/>
              </w:rPr>
              <w:t>□诊断推理：包括鉴别诊断以及其他的诊断</w:t>
            </w:r>
          </w:p>
          <w:p w14:paraId="7CA43AC6">
            <w:pPr>
              <w:rPr>
                <w:rFonts w:asciiTheme="minorEastAsia" w:hAnsiTheme="minorEastAsia" w:cstheme="minorEastAsia"/>
                <w:b/>
                <w:sz w:val="18"/>
                <w:szCs w:val="18"/>
              </w:rPr>
            </w:pPr>
            <w:r>
              <w:rPr>
                <w:rFonts w:hint="eastAsia" w:asciiTheme="minorEastAsia" w:hAnsiTheme="minorEastAsia" w:cstheme="minorEastAsia"/>
                <w:b/>
                <w:sz w:val="18"/>
                <w:szCs w:val="18"/>
              </w:rPr>
              <w:t>1</w:t>
            </w:r>
            <w:r>
              <w:rPr>
                <w:rFonts w:asciiTheme="minorEastAsia" w:hAnsiTheme="minorEastAsia" w:cstheme="minorEastAsia"/>
                <w:b/>
                <w:sz w:val="18"/>
                <w:szCs w:val="18"/>
              </w:rPr>
              <w:t>.3.3</w:t>
            </w:r>
            <w:r>
              <w:rPr>
                <w:rFonts w:hint="eastAsia" w:asciiTheme="minorEastAsia" w:hAnsiTheme="minorEastAsia" w:cstheme="minorEastAsia"/>
                <w:b/>
                <w:sz w:val="18"/>
                <w:szCs w:val="18"/>
              </w:rPr>
              <w:t xml:space="preserve">问题的轻重程度及预后判断    </w:t>
            </w:r>
          </w:p>
          <w:p w14:paraId="097FB84A">
            <w:pPr>
              <w:rPr>
                <w:rFonts w:asciiTheme="minorEastAsia" w:hAnsiTheme="minorEastAsia" w:cstheme="minorEastAsia"/>
                <w:sz w:val="18"/>
                <w:szCs w:val="18"/>
              </w:rPr>
            </w:pPr>
            <w:r>
              <w:rPr>
                <w:rFonts w:hint="eastAsia" w:asciiTheme="minorEastAsia" w:hAnsiTheme="minorEastAsia" w:cstheme="minorEastAsia"/>
                <w:sz w:val="18"/>
                <w:szCs w:val="18"/>
              </w:rPr>
              <w:t>□相关预后的判别与特征（如适用）</w:t>
            </w:r>
          </w:p>
          <w:p w14:paraId="64B941D9">
            <w:pPr>
              <w:rPr>
                <w:rFonts w:asciiTheme="minorEastAsia" w:hAnsiTheme="minorEastAsia" w:cstheme="minorEastAsia"/>
                <w:b/>
                <w:sz w:val="18"/>
                <w:szCs w:val="18"/>
              </w:rPr>
            </w:pPr>
            <w:r>
              <w:rPr>
                <w:rFonts w:hint="eastAsia" w:asciiTheme="minorEastAsia" w:hAnsiTheme="minorEastAsia" w:cstheme="minorEastAsia"/>
                <w:b/>
                <w:sz w:val="18"/>
                <w:szCs w:val="18"/>
              </w:rPr>
              <w:t>1</w:t>
            </w:r>
            <w:r>
              <w:rPr>
                <w:rFonts w:asciiTheme="minorEastAsia" w:hAnsiTheme="minorEastAsia" w:cstheme="minorEastAsia"/>
                <w:b/>
                <w:sz w:val="18"/>
                <w:szCs w:val="18"/>
              </w:rPr>
              <w:t>.3.4</w:t>
            </w:r>
            <w:r>
              <w:rPr>
                <w:rFonts w:hint="eastAsia" w:asciiTheme="minorEastAsia" w:hAnsiTheme="minorEastAsia" w:cstheme="minorEastAsia"/>
                <w:b/>
                <w:sz w:val="18"/>
                <w:szCs w:val="18"/>
              </w:rPr>
              <w:t xml:space="preserve">诊疗管理流程  </w:t>
            </w:r>
          </w:p>
          <w:p w14:paraId="54B8EB3B">
            <w:pPr>
              <w:rPr>
                <w:rFonts w:asciiTheme="minorEastAsia" w:hAnsiTheme="minorEastAsia" w:cstheme="minorEastAsia"/>
                <w:sz w:val="18"/>
                <w:szCs w:val="18"/>
              </w:rPr>
            </w:pPr>
            <w:r>
              <w:rPr>
                <w:rFonts w:hint="eastAsia" w:asciiTheme="minorEastAsia" w:hAnsiTheme="minorEastAsia" w:cstheme="minorEastAsia"/>
                <w:sz w:val="18"/>
                <w:szCs w:val="18"/>
              </w:rPr>
              <w:t xml:space="preserve">□诊疗管理流程（附流程图/图片）  </w:t>
            </w:r>
          </w:p>
        </w:tc>
        <w:tc>
          <w:tcPr>
            <w:tcW w:w="4110" w:type="dxa"/>
          </w:tcPr>
          <w:p w14:paraId="711A7905">
            <w:pPr>
              <w:jc w:val="left"/>
              <w:rPr>
                <w:rFonts w:asciiTheme="minorEastAsia" w:hAnsiTheme="minorEastAsia" w:cstheme="minorEastAsia"/>
                <w:sz w:val="18"/>
                <w:szCs w:val="18"/>
              </w:rPr>
            </w:pPr>
            <w:r>
              <w:rPr>
                <w:rFonts w:hint="eastAsia" w:asciiTheme="minorEastAsia" w:hAnsiTheme="minorEastAsia" w:cstheme="minorEastAsia"/>
                <w:sz w:val="18"/>
                <w:szCs w:val="18"/>
              </w:rPr>
              <w:t>必填，不超过400字，详细说明诊断依据和鉴别诊断过程，体现诊断过程中针对难点的解决之道，通过科学性和逻辑性体现诊断技术水平。</w:t>
            </w:r>
          </w:p>
        </w:tc>
      </w:tr>
      <w:tr w14:paraId="1D8526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6" w:hRule="atLeast"/>
        </w:trPr>
        <w:tc>
          <w:tcPr>
            <w:tcW w:w="1129" w:type="dxa"/>
            <w:vAlign w:val="center"/>
          </w:tcPr>
          <w:p w14:paraId="4D31F1F2">
            <w:pPr>
              <w:jc w:val="center"/>
              <w:rPr>
                <w:rFonts w:asciiTheme="minorEastAsia" w:hAnsiTheme="minorEastAsia" w:cstheme="minorEastAsia"/>
                <w:b/>
                <w:bCs/>
                <w:sz w:val="18"/>
                <w:szCs w:val="18"/>
              </w:rPr>
            </w:pPr>
            <w:r>
              <w:rPr>
                <w:rFonts w:asciiTheme="minorEastAsia" w:hAnsiTheme="minorEastAsia" w:cstheme="minorEastAsia"/>
                <w:b/>
                <w:bCs/>
                <w:sz w:val="18"/>
                <w:szCs w:val="18"/>
              </w:rPr>
              <w:t xml:space="preserve">1.4 </w:t>
            </w:r>
          </w:p>
          <w:p w14:paraId="12C0EF64">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 xml:space="preserve">P  （Plan    对问题的处理计划）     </w:t>
            </w:r>
          </w:p>
        </w:tc>
        <w:tc>
          <w:tcPr>
            <w:tcW w:w="4962" w:type="dxa"/>
          </w:tcPr>
          <w:p w14:paraId="1F29D967">
            <w:pPr>
              <w:rPr>
                <w:rFonts w:asciiTheme="minorEastAsia" w:hAnsiTheme="minorEastAsia" w:cstheme="minorEastAsia"/>
                <w:sz w:val="18"/>
                <w:szCs w:val="18"/>
              </w:rPr>
            </w:pPr>
            <w:r>
              <w:rPr>
                <w:rFonts w:hint="eastAsia" w:asciiTheme="minorEastAsia" w:hAnsiTheme="minorEastAsia" w:cstheme="minorEastAsia"/>
                <w:sz w:val="18"/>
                <w:szCs w:val="18"/>
              </w:rPr>
              <w:t>□检查计划</w:t>
            </w:r>
          </w:p>
          <w:p w14:paraId="1BE1E238">
            <w:pPr>
              <w:rPr>
                <w:rFonts w:asciiTheme="minorEastAsia" w:hAnsiTheme="minorEastAsia" w:cstheme="minorEastAsia"/>
                <w:sz w:val="18"/>
                <w:szCs w:val="18"/>
              </w:rPr>
            </w:pPr>
            <w:r>
              <w:rPr>
                <w:rFonts w:hint="eastAsia" w:asciiTheme="minorEastAsia" w:hAnsiTheme="minorEastAsia" w:cstheme="minorEastAsia"/>
                <w:sz w:val="18"/>
                <w:szCs w:val="18"/>
              </w:rPr>
              <w:t>□治疗计划，包括</w:t>
            </w:r>
            <w:r>
              <w:rPr>
                <w:rFonts w:asciiTheme="minorEastAsia" w:hAnsiTheme="minorEastAsia" w:cstheme="minorEastAsia"/>
                <w:sz w:val="18"/>
                <w:szCs w:val="18"/>
              </w:rPr>
              <w:t>药物治疗</w:t>
            </w:r>
            <w:r>
              <w:rPr>
                <w:rFonts w:hint="eastAsia" w:asciiTheme="minorEastAsia" w:hAnsiTheme="minorEastAsia" w:cstheme="minorEastAsia"/>
                <w:sz w:val="18"/>
                <w:szCs w:val="18"/>
              </w:rPr>
              <w:t>和</w:t>
            </w:r>
            <w:r>
              <w:rPr>
                <w:rFonts w:asciiTheme="minorEastAsia" w:hAnsiTheme="minorEastAsia" w:cstheme="minorEastAsia"/>
                <w:sz w:val="18"/>
                <w:szCs w:val="18"/>
              </w:rPr>
              <w:t>非药物治疗</w:t>
            </w:r>
          </w:p>
          <w:p w14:paraId="7A89FEB0">
            <w:pPr>
              <w:rPr>
                <w:rFonts w:asciiTheme="minorEastAsia" w:hAnsiTheme="minorEastAsia" w:cstheme="minorEastAsia"/>
                <w:sz w:val="18"/>
                <w:szCs w:val="18"/>
              </w:rPr>
            </w:pPr>
            <w:r>
              <w:rPr>
                <w:rFonts w:hint="eastAsia" w:asciiTheme="minorEastAsia" w:hAnsiTheme="minorEastAsia" w:cstheme="minorEastAsia"/>
                <w:sz w:val="18"/>
                <w:szCs w:val="18"/>
              </w:rPr>
              <w:t>□转诊标准</w:t>
            </w:r>
          </w:p>
          <w:p w14:paraId="4B706924">
            <w:pPr>
              <w:rPr>
                <w:rFonts w:asciiTheme="minorEastAsia" w:hAnsiTheme="minorEastAsia" w:cstheme="minorEastAsia"/>
                <w:sz w:val="18"/>
                <w:szCs w:val="18"/>
              </w:rPr>
            </w:pPr>
          </w:p>
        </w:tc>
        <w:tc>
          <w:tcPr>
            <w:tcW w:w="4110" w:type="dxa"/>
          </w:tcPr>
          <w:p w14:paraId="05A2BC58">
            <w:pPr>
              <w:jc w:val="left"/>
              <w:rPr>
                <w:rFonts w:asciiTheme="minorEastAsia" w:hAnsiTheme="minorEastAsia" w:cstheme="minorEastAsia"/>
                <w:sz w:val="18"/>
                <w:szCs w:val="18"/>
              </w:rPr>
            </w:pPr>
            <w:r>
              <w:rPr>
                <w:rFonts w:hint="eastAsia" w:asciiTheme="minorEastAsia" w:hAnsiTheme="minorEastAsia" w:cstheme="minorEastAsia"/>
                <w:sz w:val="18"/>
                <w:szCs w:val="18"/>
              </w:rPr>
              <w:t>必填，不超过400字。详细说明治疗的合理性/先进性和有效性，体现诊疗过程中针对难点的解决之道，通过科学性和逻辑性体现治疗技术水平。</w:t>
            </w:r>
          </w:p>
        </w:tc>
      </w:tr>
      <w:tr w14:paraId="4F62E5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10201" w:type="dxa"/>
            <w:gridSpan w:val="3"/>
            <w:vAlign w:val="center"/>
          </w:tcPr>
          <w:p w14:paraId="338AD033">
            <w:pPr>
              <w:jc w:val="center"/>
              <w:rPr>
                <w:rFonts w:asciiTheme="minorEastAsia" w:hAnsiTheme="minorEastAsia" w:cstheme="minorEastAsia"/>
                <w:b/>
                <w:sz w:val="18"/>
                <w:szCs w:val="18"/>
              </w:rPr>
            </w:pPr>
            <w:r>
              <w:rPr>
                <w:rFonts w:hint="eastAsia" w:asciiTheme="minorEastAsia" w:hAnsiTheme="minorEastAsia" w:cstheme="minorEastAsia"/>
                <w:b/>
                <w:sz w:val="18"/>
                <w:szCs w:val="18"/>
              </w:rPr>
              <w:t>2</w:t>
            </w:r>
            <w:r>
              <w:rPr>
                <w:rFonts w:asciiTheme="minorEastAsia" w:hAnsiTheme="minorEastAsia" w:cstheme="minorEastAsia"/>
                <w:b/>
                <w:sz w:val="18"/>
                <w:szCs w:val="18"/>
              </w:rPr>
              <w:t>.</w:t>
            </w:r>
            <w:r>
              <w:rPr>
                <w:rFonts w:hint="eastAsia" w:asciiTheme="minorEastAsia" w:hAnsiTheme="minorEastAsia" w:cstheme="minorEastAsia"/>
                <w:b/>
                <w:sz w:val="18"/>
                <w:szCs w:val="18"/>
              </w:rPr>
              <w:t>病例的主要问题及分析</w:t>
            </w:r>
          </w:p>
        </w:tc>
      </w:tr>
      <w:tr w14:paraId="42F144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2" w:hRule="atLeast"/>
        </w:trPr>
        <w:tc>
          <w:tcPr>
            <w:tcW w:w="1129" w:type="dxa"/>
            <w:vAlign w:val="center"/>
          </w:tcPr>
          <w:p w14:paraId="7CFF514B">
            <w:pPr>
              <w:jc w:val="center"/>
              <w:rPr>
                <w:rFonts w:asciiTheme="minorEastAsia" w:hAnsiTheme="minorEastAsia" w:cstheme="minorEastAsia"/>
                <w:b/>
                <w:bCs/>
                <w:sz w:val="18"/>
                <w:szCs w:val="18"/>
              </w:rPr>
            </w:pPr>
            <w:r>
              <w:rPr>
                <w:rFonts w:hint="eastAsia" w:asciiTheme="minorEastAsia" w:hAnsiTheme="minorEastAsia" w:cstheme="minorEastAsia"/>
                <w:b/>
                <w:sz w:val="18"/>
                <w:szCs w:val="18"/>
              </w:rPr>
              <w:t>2病例的主要问题及分析</w:t>
            </w:r>
          </w:p>
        </w:tc>
        <w:tc>
          <w:tcPr>
            <w:tcW w:w="4962" w:type="dxa"/>
          </w:tcPr>
          <w:p w14:paraId="282B585D">
            <w:pPr>
              <w:rPr>
                <w:rFonts w:asciiTheme="minorEastAsia" w:hAnsiTheme="minorEastAsia" w:cstheme="minorEastAsia"/>
                <w:sz w:val="18"/>
                <w:szCs w:val="18"/>
              </w:rPr>
            </w:pPr>
            <w:r>
              <w:rPr>
                <w:rFonts w:hint="eastAsia" w:asciiTheme="minorEastAsia" w:hAnsiTheme="minorEastAsia" w:cstheme="minorEastAsia"/>
                <w:sz w:val="18"/>
                <w:szCs w:val="18"/>
              </w:rPr>
              <w:t>□主要问题</w:t>
            </w:r>
          </w:p>
          <w:p w14:paraId="79819A56">
            <w:pPr>
              <w:rPr>
                <w:rFonts w:asciiTheme="minorEastAsia" w:hAnsiTheme="minorEastAsia" w:cstheme="minorEastAsia"/>
                <w:sz w:val="18"/>
                <w:szCs w:val="18"/>
              </w:rPr>
            </w:pPr>
            <w:r>
              <w:rPr>
                <w:rFonts w:hint="eastAsia" w:asciiTheme="minorEastAsia" w:hAnsiTheme="minorEastAsia" w:cstheme="minorEastAsia"/>
                <w:sz w:val="18"/>
                <w:szCs w:val="18"/>
              </w:rPr>
              <w:t>□次要问题</w:t>
            </w:r>
          </w:p>
          <w:p w14:paraId="72EE4128">
            <w:pPr>
              <w:rPr>
                <w:rFonts w:asciiTheme="minorEastAsia" w:hAnsiTheme="minorEastAsia" w:cstheme="minorEastAsia"/>
                <w:sz w:val="18"/>
                <w:szCs w:val="18"/>
              </w:rPr>
            </w:pPr>
            <w:r>
              <w:rPr>
                <w:rFonts w:hint="eastAsia" w:asciiTheme="minorEastAsia" w:hAnsiTheme="minorEastAsia" w:cstheme="minorEastAsia"/>
                <w:sz w:val="18"/>
                <w:szCs w:val="18"/>
              </w:rPr>
              <w:t xml:space="preserve">□存在的问题分析及依据  </w:t>
            </w:r>
          </w:p>
        </w:tc>
        <w:tc>
          <w:tcPr>
            <w:tcW w:w="4110" w:type="dxa"/>
          </w:tcPr>
          <w:p w14:paraId="23CA4757">
            <w:pPr>
              <w:jc w:val="left"/>
              <w:rPr>
                <w:rFonts w:asciiTheme="minorEastAsia" w:hAnsiTheme="minorEastAsia" w:cstheme="minorEastAsia"/>
                <w:sz w:val="18"/>
                <w:szCs w:val="18"/>
              </w:rPr>
            </w:pPr>
            <w:r>
              <w:rPr>
                <w:rFonts w:hint="eastAsia" w:asciiTheme="minorEastAsia" w:hAnsiTheme="minorEastAsia" w:cstheme="minorEastAsia"/>
                <w:sz w:val="18"/>
                <w:szCs w:val="18"/>
              </w:rPr>
              <w:t>必填，不超过300字，可逐层进行分析；依据可引用教材、指南、专家共识等，简要写出相应的病理变化。</w:t>
            </w:r>
          </w:p>
        </w:tc>
      </w:tr>
      <w:tr w14:paraId="4D893D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9" w:hRule="atLeast"/>
        </w:trPr>
        <w:tc>
          <w:tcPr>
            <w:tcW w:w="10201" w:type="dxa"/>
            <w:gridSpan w:val="3"/>
            <w:vAlign w:val="center"/>
          </w:tcPr>
          <w:p w14:paraId="35E7F6F5">
            <w:pPr>
              <w:jc w:val="center"/>
              <w:rPr>
                <w:rFonts w:asciiTheme="minorEastAsia" w:hAnsiTheme="minorEastAsia" w:cstheme="minorEastAsia"/>
                <w:b/>
                <w:sz w:val="18"/>
                <w:szCs w:val="18"/>
              </w:rPr>
            </w:pPr>
            <w:r>
              <w:rPr>
                <w:rFonts w:hint="eastAsia" w:asciiTheme="minorEastAsia" w:hAnsiTheme="minorEastAsia" w:cstheme="minorEastAsia"/>
                <w:b/>
                <w:sz w:val="18"/>
                <w:szCs w:val="18"/>
              </w:rPr>
              <w:t>3</w:t>
            </w:r>
            <w:r>
              <w:rPr>
                <w:rFonts w:asciiTheme="minorEastAsia" w:hAnsiTheme="minorEastAsia" w:cstheme="minorEastAsia"/>
                <w:b/>
                <w:sz w:val="18"/>
                <w:szCs w:val="18"/>
              </w:rPr>
              <w:t>.</w:t>
            </w:r>
            <w:r>
              <w:rPr>
                <w:rFonts w:hint="eastAsia" w:asciiTheme="minorEastAsia" w:hAnsiTheme="minorEastAsia" w:cstheme="minorEastAsia"/>
                <w:b/>
                <w:sz w:val="18"/>
                <w:szCs w:val="18"/>
              </w:rPr>
              <w:t>随访记录</w:t>
            </w:r>
          </w:p>
        </w:tc>
      </w:tr>
      <w:tr w14:paraId="777911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22" w:hRule="atLeast"/>
        </w:trPr>
        <w:tc>
          <w:tcPr>
            <w:tcW w:w="1129" w:type="dxa"/>
            <w:vAlign w:val="center"/>
          </w:tcPr>
          <w:p w14:paraId="2D41238F">
            <w:pPr>
              <w:rPr>
                <w:rFonts w:asciiTheme="minorEastAsia" w:hAnsiTheme="minorEastAsia" w:cstheme="minorEastAsia"/>
                <w:b/>
                <w:bCs/>
                <w:sz w:val="18"/>
                <w:szCs w:val="18"/>
              </w:rPr>
            </w:pPr>
            <w:r>
              <w:rPr>
                <w:rFonts w:hint="eastAsia" w:asciiTheme="minorEastAsia" w:hAnsiTheme="minorEastAsia" w:cstheme="minorEastAsia"/>
                <w:b/>
                <w:bCs/>
                <w:sz w:val="18"/>
                <w:szCs w:val="18"/>
              </w:rPr>
              <w:t xml:space="preserve">3随访记录   </w:t>
            </w:r>
          </w:p>
        </w:tc>
        <w:tc>
          <w:tcPr>
            <w:tcW w:w="4962" w:type="dxa"/>
          </w:tcPr>
          <w:p w14:paraId="4C763742">
            <w:pPr>
              <w:rPr>
                <w:rFonts w:asciiTheme="minorEastAsia" w:hAnsiTheme="minorEastAsia" w:cstheme="minorEastAsia"/>
                <w:sz w:val="18"/>
                <w:szCs w:val="18"/>
              </w:rPr>
            </w:pPr>
            <w:r>
              <w:rPr>
                <w:rFonts w:hint="eastAsia" w:asciiTheme="minorEastAsia" w:hAnsiTheme="minorEastAsia" w:cstheme="minorEastAsia"/>
                <w:sz w:val="18"/>
                <w:szCs w:val="18"/>
              </w:rPr>
              <w:t>□随访时间</w:t>
            </w:r>
          </w:p>
          <w:p w14:paraId="56FED182">
            <w:pPr>
              <w:rPr>
                <w:rFonts w:asciiTheme="minorEastAsia" w:hAnsiTheme="minorEastAsia" w:cstheme="minorEastAsia"/>
                <w:sz w:val="18"/>
                <w:szCs w:val="18"/>
              </w:rPr>
            </w:pPr>
            <w:r>
              <w:rPr>
                <w:rFonts w:hint="eastAsia" w:asciiTheme="minorEastAsia" w:hAnsiTheme="minorEastAsia" w:cstheme="minorEastAsia"/>
                <w:sz w:val="18"/>
                <w:szCs w:val="18"/>
              </w:rPr>
              <w:t>□不良反应和意外事件</w:t>
            </w:r>
          </w:p>
          <w:p w14:paraId="0B89B6FD">
            <w:pPr>
              <w:rPr>
                <w:rFonts w:asciiTheme="minorEastAsia" w:hAnsiTheme="minorEastAsia" w:cstheme="minorEastAsia"/>
                <w:sz w:val="18"/>
                <w:szCs w:val="18"/>
              </w:rPr>
            </w:pPr>
            <w:r>
              <w:rPr>
                <w:rFonts w:hint="eastAsia" w:asciiTheme="minorEastAsia" w:hAnsiTheme="minorEastAsia" w:cstheme="minorEastAsia"/>
                <w:sz w:val="18"/>
                <w:szCs w:val="18"/>
              </w:rPr>
              <w:t>□重要的随访结果、化验检查数据等</w:t>
            </w:r>
          </w:p>
          <w:p w14:paraId="38849D3A">
            <w:pPr>
              <w:rPr>
                <w:rFonts w:asciiTheme="minorEastAsia" w:hAnsiTheme="minorEastAsia" w:cstheme="minorEastAsia"/>
                <w:sz w:val="18"/>
                <w:szCs w:val="18"/>
              </w:rPr>
            </w:pPr>
            <w:r>
              <w:rPr>
                <w:rFonts w:hint="eastAsia" w:asciiTheme="minorEastAsia" w:hAnsiTheme="minorEastAsia" w:cstheme="minorEastAsia"/>
                <w:sz w:val="18"/>
                <w:szCs w:val="18"/>
              </w:rPr>
              <w:t>□患者转归</w:t>
            </w:r>
          </w:p>
          <w:p w14:paraId="74A7BA0C">
            <w:pPr>
              <w:rPr>
                <w:rFonts w:asciiTheme="minorEastAsia" w:hAnsiTheme="minorEastAsia" w:cstheme="minorEastAsia"/>
                <w:sz w:val="18"/>
                <w:szCs w:val="18"/>
              </w:rPr>
            </w:pPr>
            <w:r>
              <w:rPr>
                <w:rFonts w:hint="eastAsia" w:asciiTheme="minorEastAsia" w:hAnsiTheme="minorEastAsia" w:cstheme="minorEastAsia"/>
                <w:sz w:val="18"/>
                <w:szCs w:val="18"/>
              </w:rPr>
              <w:t>□</w:t>
            </w:r>
            <w:r>
              <w:rPr>
                <w:rFonts w:hint="eastAsia" w:asciiTheme="minorEastAsia" w:hAnsiTheme="minorEastAsia" w:cstheme="minorEastAsia"/>
                <w:bCs/>
                <w:sz w:val="18"/>
                <w:szCs w:val="18"/>
              </w:rPr>
              <w:t>健康教育、下次就诊的问诊重点</w:t>
            </w:r>
          </w:p>
        </w:tc>
        <w:tc>
          <w:tcPr>
            <w:tcW w:w="4110" w:type="dxa"/>
          </w:tcPr>
          <w:p w14:paraId="5E15FF85">
            <w:pPr>
              <w:ind w:right="-4"/>
              <w:jc w:val="left"/>
              <w:rPr>
                <w:rFonts w:asciiTheme="minorEastAsia" w:hAnsiTheme="minorEastAsia" w:cstheme="minorEastAsia"/>
                <w:sz w:val="18"/>
                <w:szCs w:val="18"/>
              </w:rPr>
            </w:pPr>
            <w:r>
              <w:rPr>
                <w:rFonts w:hint="eastAsia" w:asciiTheme="minorEastAsia" w:hAnsiTheme="minorEastAsia" w:cstheme="minorEastAsia"/>
                <w:sz w:val="18"/>
                <w:szCs w:val="18"/>
              </w:rPr>
              <w:t>必填，不超过300字，可以图表辅助。清晰说明治疗结果和患者后续情况，提供长期观察数据。</w:t>
            </w:r>
          </w:p>
        </w:tc>
      </w:tr>
      <w:tr w14:paraId="54B312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7" w:hRule="atLeast"/>
        </w:trPr>
        <w:tc>
          <w:tcPr>
            <w:tcW w:w="10201" w:type="dxa"/>
            <w:gridSpan w:val="3"/>
            <w:vAlign w:val="center"/>
          </w:tcPr>
          <w:p w14:paraId="708A8A4E">
            <w:pPr>
              <w:jc w:val="center"/>
              <w:rPr>
                <w:rFonts w:asciiTheme="minorEastAsia" w:hAnsiTheme="minorEastAsia" w:cstheme="minorEastAsia"/>
                <w:b/>
                <w:sz w:val="18"/>
                <w:szCs w:val="18"/>
              </w:rPr>
            </w:pPr>
            <w:r>
              <w:rPr>
                <w:rFonts w:asciiTheme="minorEastAsia" w:hAnsiTheme="minorEastAsia" w:cstheme="minorEastAsia"/>
                <w:b/>
                <w:sz w:val="18"/>
                <w:szCs w:val="18"/>
              </w:rPr>
              <w:t>4.</w:t>
            </w:r>
            <w:r>
              <w:rPr>
                <w:rFonts w:hint="eastAsia" w:asciiTheme="minorEastAsia" w:hAnsiTheme="minorEastAsia" w:cstheme="minorEastAsia"/>
                <w:b/>
                <w:sz w:val="18"/>
                <w:szCs w:val="18"/>
              </w:rPr>
              <w:t>讨论</w:t>
            </w:r>
          </w:p>
        </w:tc>
      </w:tr>
      <w:tr w14:paraId="71A2F4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8" w:hRule="atLeast"/>
        </w:trPr>
        <w:tc>
          <w:tcPr>
            <w:tcW w:w="1129" w:type="dxa"/>
            <w:vAlign w:val="center"/>
          </w:tcPr>
          <w:p w14:paraId="45103380">
            <w:pPr>
              <w:rPr>
                <w:rFonts w:asciiTheme="minorEastAsia" w:hAnsiTheme="minorEastAsia" w:cstheme="minorEastAsia"/>
                <w:b/>
                <w:bCs/>
                <w:sz w:val="18"/>
                <w:szCs w:val="18"/>
              </w:rPr>
            </w:pPr>
            <w:r>
              <w:rPr>
                <w:rFonts w:asciiTheme="minorEastAsia" w:hAnsiTheme="minorEastAsia" w:cstheme="minorEastAsia"/>
                <w:b/>
                <w:bCs/>
                <w:sz w:val="18"/>
                <w:szCs w:val="18"/>
              </w:rPr>
              <w:t>4.1</w:t>
            </w:r>
            <w:r>
              <w:rPr>
                <w:rFonts w:hint="eastAsia" w:asciiTheme="minorEastAsia" w:hAnsiTheme="minorEastAsia" w:cstheme="minorEastAsia"/>
                <w:b/>
                <w:bCs/>
                <w:sz w:val="18"/>
                <w:szCs w:val="18"/>
              </w:rPr>
              <w:t>讨论</w:t>
            </w:r>
          </w:p>
        </w:tc>
        <w:tc>
          <w:tcPr>
            <w:tcW w:w="4962" w:type="dxa"/>
          </w:tcPr>
          <w:p w14:paraId="71806AC8">
            <w:pPr>
              <w:rPr>
                <w:rFonts w:asciiTheme="minorEastAsia" w:hAnsiTheme="minorEastAsia" w:cstheme="minorEastAsia"/>
                <w:sz w:val="18"/>
                <w:szCs w:val="18"/>
              </w:rPr>
            </w:pPr>
            <w:r>
              <w:rPr>
                <w:rFonts w:hint="eastAsia" w:asciiTheme="minorEastAsia" w:hAnsiTheme="minorEastAsia" w:cstheme="minorEastAsia"/>
                <w:sz w:val="18"/>
                <w:szCs w:val="18"/>
              </w:rPr>
              <w:t>□病例相关的背景、理论、标准、指南、现状与进展的描述，突出重点</w:t>
            </w:r>
          </w:p>
          <w:p w14:paraId="57AD9587">
            <w:pPr>
              <w:rPr>
                <w:rFonts w:asciiTheme="minorEastAsia" w:hAnsiTheme="minorEastAsia" w:cstheme="minorEastAsia"/>
                <w:sz w:val="18"/>
                <w:szCs w:val="18"/>
              </w:rPr>
            </w:pPr>
            <w:r>
              <w:rPr>
                <w:rFonts w:hint="eastAsia" w:asciiTheme="minorEastAsia" w:hAnsiTheme="minorEastAsia" w:cstheme="minorEastAsia"/>
                <w:sz w:val="18"/>
                <w:szCs w:val="18"/>
              </w:rPr>
              <w:t>□病例的优势和局限性</w:t>
            </w:r>
          </w:p>
          <w:p w14:paraId="271D495F">
            <w:pPr>
              <w:rPr>
                <w:rFonts w:asciiTheme="minorEastAsia" w:hAnsiTheme="minorEastAsia" w:cstheme="minorEastAsia"/>
                <w:sz w:val="18"/>
                <w:szCs w:val="18"/>
              </w:rPr>
            </w:pPr>
            <w:r>
              <w:rPr>
                <w:rFonts w:hint="eastAsia" w:asciiTheme="minorEastAsia" w:hAnsiTheme="minorEastAsia" w:cstheme="minorEastAsia"/>
                <w:sz w:val="18"/>
                <w:szCs w:val="18"/>
              </w:rPr>
              <w:t>□对照类似已发表的案例相关文献，找出差异点进行讨论</w:t>
            </w:r>
          </w:p>
          <w:p w14:paraId="5DCE50DF">
            <w:pPr>
              <w:rPr>
                <w:rFonts w:asciiTheme="minorEastAsia" w:hAnsiTheme="minorEastAsia" w:cstheme="minorEastAsia"/>
                <w:sz w:val="18"/>
                <w:szCs w:val="18"/>
              </w:rPr>
            </w:pPr>
            <w:r>
              <w:rPr>
                <w:rFonts w:hint="eastAsia" w:asciiTheme="minorEastAsia" w:hAnsiTheme="minorEastAsia" w:cstheme="minorEastAsia"/>
                <w:sz w:val="18"/>
                <w:szCs w:val="18"/>
              </w:rPr>
              <w:t>□病例报告的价值所在，诊疗中的疑难之处及解决办法和具体过程，其作用和价值</w:t>
            </w:r>
          </w:p>
          <w:p w14:paraId="46E6F8BB">
            <w:pPr>
              <w:rPr>
                <w:rFonts w:asciiTheme="minorEastAsia" w:hAnsiTheme="minorEastAsia" w:cstheme="minorEastAsia"/>
                <w:sz w:val="18"/>
                <w:szCs w:val="18"/>
              </w:rPr>
            </w:pPr>
            <w:r>
              <w:rPr>
                <w:rFonts w:hint="eastAsia" w:asciiTheme="minorEastAsia" w:hAnsiTheme="minorEastAsia" w:cstheme="minorEastAsia"/>
                <w:sz w:val="18"/>
                <w:szCs w:val="18"/>
              </w:rPr>
              <w:t>□结论</w:t>
            </w:r>
          </w:p>
          <w:p w14:paraId="0EBE2DE5">
            <w:pPr>
              <w:rPr>
                <w:rFonts w:asciiTheme="minorEastAsia" w:hAnsiTheme="minorEastAsia" w:cstheme="minorEastAsia"/>
                <w:sz w:val="18"/>
                <w:szCs w:val="18"/>
              </w:rPr>
            </w:pPr>
            <w:r>
              <w:rPr>
                <w:rFonts w:hint="eastAsia" w:asciiTheme="minorEastAsia" w:hAnsiTheme="minorEastAsia" w:cstheme="minorEastAsia"/>
                <w:sz w:val="18"/>
                <w:szCs w:val="18"/>
              </w:rPr>
              <w:t>□一些可能的发展和应用，如长期随访或新的研究课题</w:t>
            </w:r>
          </w:p>
        </w:tc>
        <w:tc>
          <w:tcPr>
            <w:tcW w:w="4110" w:type="dxa"/>
          </w:tcPr>
          <w:p w14:paraId="3583C994">
            <w:pPr>
              <w:jc w:val="left"/>
              <w:rPr>
                <w:rFonts w:asciiTheme="minorEastAsia" w:hAnsiTheme="minorEastAsia" w:cstheme="minorEastAsia"/>
                <w:sz w:val="18"/>
                <w:szCs w:val="18"/>
              </w:rPr>
            </w:pPr>
            <w:r>
              <w:rPr>
                <w:rFonts w:hint="eastAsia" w:asciiTheme="minorEastAsia" w:hAnsiTheme="minorEastAsia" w:cstheme="minorEastAsia"/>
                <w:sz w:val="18"/>
                <w:szCs w:val="18"/>
              </w:rPr>
              <w:t>必填，实质性讨论，避免重复，</w:t>
            </w:r>
            <w:r>
              <w:rPr>
                <w:rFonts w:hint="eastAsia" w:asciiTheme="minorEastAsia" w:hAnsiTheme="minorEastAsia" w:cstheme="minorEastAsia"/>
                <w:sz w:val="18"/>
                <w:szCs w:val="18"/>
                <w:lang w:val="en-US" w:eastAsia="zh-CN"/>
              </w:rPr>
              <w:t>突出病例的难点、创新点，</w:t>
            </w:r>
            <w:r>
              <w:rPr>
                <w:rFonts w:hint="eastAsia" w:asciiTheme="minorEastAsia" w:hAnsiTheme="minorEastAsia" w:cstheme="minorEastAsia"/>
                <w:sz w:val="18"/>
                <w:szCs w:val="18"/>
              </w:rPr>
              <w:t>提供深入分析和前瞻性观点。</w:t>
            </w:r>
          </w:p>
        </w:tc>
      </w:tr>
      <w:tr w14:paraId="00AA3E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0" w:hRule="atLeast"/>
        </w:trPr>
        <w:tc>
          <w:tcPr>
            <w:tcW w:w="1129" w:type="dxa"/>
            <w:vAlign w:val="center"/>
          </w:tcPr>
          <w:p w14:paraId="137BDB23">
            <w:pPr>
              <w:rPr>
                <w:rFonts w:asciiTheme="minorEastAsia" w:hAnsiTheme="minorEastAsia" w:cstheme="minorEastAsia"/>
                <w:b/>
                <w:bCs/>
                <w:sz w:val="18"/>
                <w:szCs w:val="18"/>
              </w:rPr>
            </w:pPr>
            <w:r>
              <w:rPr>
                <w:rFonts w:hint="eastAsia" w:asciiTheme="minorEastAsia" w:hAnsiTheme="minorEastAsia" w:cstheme="minorEastAsia"/>
                <w:b/>
                <w:bCs/>
                <w:sz w:val="18"/>
                <w:szCs w:val="18"/>
              </w:rPr>
              <w:t>4</w:t>
            </w:r>
            <w:r>
              <w:rPr>
                <w:rFonts w:asciiTheme="minorEastAsia" w:hAnsiTheme="minorEastAsia" w:cstheme="minorEastAsia"/>
                <w:b/>
                <w:bCs/>
                <w:sz w:val="18"/>
                <w:szCs w:val="18"/>
              </w:rPr>
              <w:t>.2</w:t>
            </w:r>
            <w:r>
              <w:rPr>
                <w:rFonts w:hint="eastAsia" w:asciiTheme="minorEastAsia" w:hAnsiTheme="minorEastAsia" w:cstheme="minorEastAsia"/>
                <w:b/>
                <w:bCs/>
                <w:sz w:val="18"/>
                <w:szCs w:val="18"/>
              </w:rPr>
              <w:t>参考文献</w:t>
            </w:r>
          </w:p>
        </w:tc>
        <w:tc>
          <w:tcPr>
            <w:tcW w:w="4962" w:type="dxa"/>
          </w:tcPr>
          <w:p w14:paraId="1C8B7DF9">
            <w:pPr>
              <w:rPr>
                <w:rFonts w:asciiTheme="minorEastAsia" w:hAnsiTheme="minorEastAsia" w:cstheme="minorEastAsia"/>
                <w:sz w:val="18"/>
                <w:szCs w:val="18"/>
              </w:rPr>
            </w:pPr>
            <w:r>
              <w:rPr>
                <w:rFonts w:hint="eastAsia" w:asciiTheme="minorEastAsia" w:hAnsiTheme="minorEastAsia" w:cstheme="minorEastAsia"/>
                <w:sz w:val="18"/>
                <w:szCs w:val="18"/>
              </w:rPr>
              <w:t>□观点和来源标注参考文献，可包括著作、教材、指南、专家共识及国医大师、学术继承指导老师经验等</w:t>
            </w:r>
          </w:p>
          <w:p w14:paraId="624A7CAA">
            <w:pPr>
              <w:rPr>
                <w:rFonts w:asciiTheme="minorEastAsia" w:hAnsiTheme="minorEastAsia" w:cstheme="minorEastAsia"/>
                <w:sz w:val="18"/>
                <w:szCs w:val="18"/>
              </w:rPr>
            </w:pPr>
            <w:r>
              <w:rPr>
                <w:rFonts w:hint="eastAsia" w:asciiTheme="minorEastAsia" w:hAnsiTheme="minorEastAsia" w:cstheme="minorEastAsia"/>
                <w:sz w:val="18"/>
                <w:szCs w:val="18"/>
              </w:rPr>
              <w:t>□按照GB/T 7714-2015规范</w:t>
            </w:r>
          </w:p>
        </w:tc>
        <w:tc>
          <w:tcPr>
            <w:tcW w:w="4110" w:type="dxa"/>
          </w:tcPr>
          <w:p w14:paraId="5F095E13">
            <w:pPr>
              <w:jc w:val="left"/>
              <w:rPr>
                <w:rFonts w:asciiTheme="minorEastAsia" w:hAnsiTheme="minorEastAsia" w:cstheme="minorEastAsia"/>
                <w:sz w:val="18"/>
                <w:szCs w:val="18"/>
              </w:rPr>
            </w:pPr>
            <w:r>
              <w:rPr>
                <w:rFonts w:hint="eastAsia" w:asciiTheme="minorEastAsia" w:hAnsiTheme="minorEastAsia" w:cstheme="minorEastAsia"/>
                <w:sz w:val="18"/>
                <w:szCs w:val="18"/>
              </w:rPr>
              <w:t>选填，准确引用，体现研究的学术性和权威性。</w:t>
            </w:r>
          </w:p>
        </w:tc>
      </w:tr>
      <w:tr w14:paraId="7DF9D5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4" w:hRule="atLeast"/>
        </w:trPr>
        <w:tc>
          <w:tcPr>
            <w:tcW w:w="10201" w:type="dxa"/>
            <w:gridSpan w:val="3"/>
            <w:vAlign w:val="center"/>
          </w:tcPr>
          <w:p w14:paraId="384F5E15">
            <w:pPr>
              <w:jc w:val="center"/>
              <w:rPr>
                <w:rFonts w:asciiTheme="minorEastAsia" w:hAnsiTheme="minorEastAsia" w:cstheme="minorEastAsia"/>
                <w:b/>
                <w:sz w:val="18"/>
                <w:szCs w:val="18"/>
              </w:rPr>
            </w:pPr>
            <w:r>
              <w:rPr>
                <w:rFonts w:asciiTheme="minorEastAsia" w:hAnsiTheme="minorEastAsia" w:cstheme="minorEastAsia"/>
                <w:b/>
                <w:sz w:val="18"/>
                <w:szCs w:val="18"/>
              </w:rPr>
              <w:t>5.</w:t>
            </w:r>
            <w:r>
              <w:rPr>
                <w:rFonts w:hint="eastAsia" w:asciiTheme="minorEastAsia" w:hAnsiTheme="minorEastAsia" w:cstheme="minorEastAsia"/>
                <w:b/>
                <w:sz w:val="18"/>
                <w:szCs w:val="18"/>
              </w:rPr>
              <w:t>附加材料</w:t>
            </w:r>
          </w:p>
        </w:tc>
      </w:tr>
      <w:tr w14:paraId="3495BA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6" w:hRule="atLeast"/>
        </w:trPr>
        <w:tc>
          <w:tcPr>
            <w:tcW w:w="1129" w:type="dxa"/>
            <w:vAlign w:val="center"/>
          </w:tcPr>
          <w:p w14:paraId="7DD5661D">
            <w:pPr>
              <w:jc w:val="center"/>
              <w:rPr>
                <w:rFonts w:asciiTheme="minorEastAsia" w:hAnsiTheme="minorEastAsia" w:cstheme="minorEastAsia"/>
                <w:b/>
                <w:bCs/>
                <w:sz w:val="18"/>
                <w:szCs w:val="18"/>
              </w:rPr>
            </w:pPr>
            <w:r>
              <w:rPr>
                <w:rFonts w:asciiTheme="minorEastAsia" w:hAnsiTheme="minorEastAsia" w:cstheme="minorEastAsia"/>
                <w:b/>
                <w:bCs/>
                <w:sz w:val="18"/>
                <w:szCs w:val="18"/>
              </w:rPr>
              <w:t>5</w:t>
            </w:r>
            <w:r>
              <w:rPr>
                <w:rFonts w:hint="eastAsia" w:asciiTheme="minorEastAsia" w:hAnsiTheme="minorEastAsia" w:cstheme="minorEastAsia"/>
                <w:b/>
                <w:bCs/>
                <w:sz w:val="18"/>
                <w:szCs w:val="18"/>
              </w:rPr>
              <w:t>附加材料</w:t>
            </w:r>
          </w:p>
        </w:tc>
        <w:tc>
          <w:tcPr>
            <w:tcW w:w="4962" w:type="dxa"/>
          </w:tcPr>
          <w:p w14:paraId="7FE2FB84">
            <w:pPr>
              <w:pStyle w:val="7"/>
              <w:widowControl/>
              <w:shd w:val="clear" w:color="auto" w:fill="FFFFFF"/>
              <w:spacing w:beforeAutospacing="0" w:afterAutospacing="0"/>
              <w:rPr>
                <w:rFonts w:asciiTheme="minorEastAsia" w:hAnsiTheme="minorEastAsia" w:cstheme="minorEastAsia"/>
                <w:kern w:val="2"/>
                <w:sz w:val="18"/>
                <w:szCs w:val="18"/>
              </w:rPr>
            </w:pPr>
            <w:r>
              <w:rPr>
                <w:rFonts w:hint="eastAsia" w:asciiTheme="minorEastAsia" w:hAnsiTheme="minorEastAsia" w:cstheme="minorEastAsia"/>
                <w:sz w:val="18"/>
                <w:szCs w:val="18"/>
              </w:rPr>
              <w:t>□</w:t>
            </w:r>
            <w:r>
              <w:rPr>
                <w:rFonts w:hint="eastAsia" w:asciiTheme="minorEastAsia" w:hAnsiTheme="minorEastAsia" w:cstheme="minorEastAsia"/>
                <w:kern w:val="2"/>
                <w:sz w:val="18"/>
                <w:szCs w:val="18"/>
              </w:rPr>
              <w:t>病案首页/门诊病历</w:t>
            </w:r>
          </w:p>
          <w:p w14:paraId="2A669C78">
            <w:pPr>
              <w:pStyle w:val="7"/>
              <w:widowControl/>
              <w:shd w:val="clear" w:color="auto" w:fill="FFFFFF"/>
              <w:spacing w:beforeAutospacing="0" w:afterAutospacing="0"/>
              <w:rPr>
                <w:rFonts w:asciiTheme="minorEastAsia" w:hAnsiTheme="minorEastAsia" w:cstheme="minorEastAsia"/>
                <w:kern w:val="2"/>
                <w:sz w:val="18"/>
                <w:szCs w:val="18"/>
              </w:rPr>
            </w:pPr>
            <w:r>
              <w:rPr>
                <w:rFonts w:hint="eastAsia" w:asciiTheme="minorEastAsia" w:hAnsiTheme="minorEastAsia" w:cstheme="minorEastAsia"/>
                <w:sz w:val="18"/>
                <w:szCs w:val="18"/>
              </w:rPr>
              <w:t>□</w:t>
            </w:r>
            <w:r>
              <w:rPr>
                <w:rFonts w:hint="eastAsia" w:asciiTheme="minorEastAsia" w:hAnsiTheme="minorEastAsia" w:cstheme="minorEastAsia"/>
                <w:kern w:val="2"/>
                <w:sz w:val="18"/>
                <w:szCs w:val="18"/>
              </w:rPr>
              <w:t>能够反映申报人贡献的病程记录（如查房意见、病历讨论、会诊记录、手术记录等）</w:t>
            </w:r>
          </w:p>
          <w:p w14:paraId="1EAA5C6C">
            <w:pPr>
              <w:pStyle w:val="7"/>
              <w:widowControl/>
              <w:shd w:val="clear" w:color="auto" w:fill="FFFFFF"/>
              <w:spacing w:beforeAutospacing="0" w:afterAutospacing="0"/>
              <w:rPr>
                <w:rFonts w:asciiTheme="minorEastAsia" w:hAnsiTheme="minorEastAsia" w:cstheme="minorEastAsia"/>
                <w:sz w:val="18"/>
                <w:szCs w:val="18"/>
              </w:rPr>
            </w:pPr>
            <w:r>
              <w:rPr>
                <w:rFonts w:hint="eastAsia" w:asciiTheme="minorEastAsia" w:hAnsiTheme="minorEastAsia" w:cstheme="minorEastAsia"/>
                <w:sz w:val="18"/>
                <w:szCs w:val="18"/>
              </w:rPr>
              <w:t>□</w:t>
            </w:r>
            <w:r>
              <w:rPr>
                <w:rFonts w:hint="eastAsia" w:asciiTheme="minorEastAsia" w:hAnsiTheme="minorEastAsia" w:cstheme="minorEastAsia"/>
                <w:kern w:val="2"/>
                <w:sz w:val="18"/>
                <w:szCs w:val="18"/>
              </w:rPr>
              <w:t>支持病案报告的检查、报告等</w:t>
            </w:r>
          </w:p>
        </w:tc>
        <w:tc>
          <w:tcPr>
            <w:tcW w:w="4110" w:type="dxa"/>
          </w:tcPr>
          <w:p w14:paraId="16346EE9">
            <w:pPr>
              <w:jc w:val="left"/>
              <w:rPr>
                <w:rFonts w:asciiTheme="minorEastAsia" w:hAnsiTheme="minorEastAsia" w:cstheme="minorEastAsia"/>
                <w:sz w:val="18"/>
                <w:szCs w:val="18"/>
              </w:rPr>
            </w:pPr>
            <w:r>
              <w:rPr>
                <w:rFonts w:hint="eastAsia" w:asciiTheme="minorEastAsia" w:hAnsiTheme="minorEastAsia" w:cstheme="minorEastAsia"/>
                <w:sz w:val="18"/>
                <w:szCs w:val="18"/>
              </w:rPr>
              <w:t>必填，病案资料扫描，注意保护患者隐私。</w:t>
            </w:r>
          </w:p>
        </w:tc>
      </w:tr>
    </w:tbl>
    <w:p w14:paraId="22D65797">
      <w:pPr>
        <w:rPr>
          <w:rFonts w:asciiTheme="minorEastAsia" w:hAnsiTheme="minorEastAsia" w:cstheme="minorEastAsia"/>
          <w:szCs w:val="21"/>
        </w:rPr>
      </w:pPr>
    </w:p>
    <w:p w14:paraId="0FA696B2">
      <w:pPr>
        <w:rPr>
          <w:rFonts w:asciiTheme="minorEastAsia" w:hAnsiTheme="minorEastAsia" w:cstheme="minorEastAsia"/>
          <w:szCs w:val="21"/>
        </w:rPr>
      </w:pPr>
    </w:p>
    <w:p w14:paraId="044A87EA">
      <w:pPr>
        <w:rPr>
          <w:rFonts w:asciiTheme="minorEastAsia" w:hAnsiTheme="minorEastAsia" w:cstheme="minorEastAsia"/>
          <w:szCs w:val="21"/>
        </w:rPr>
      </w:pPr>
    </w:p>
    <w:p w14:paraId="29DA08D4">
      <w:pPr>
        <w:rPr>
          <w:rFonts w:asciiTheme="minorEastAsia" w:hAnsiTheme="minorEastAsia" w:cstheme="minorEastAsia"/>
          <w:szCs w:val="21"/>
        </w:rPr>
      </w:pPr>
    </w:p>
    <w:p w14:paraId="23BC4B13">
      <w:pPr>
        <w:rPr>
          <w:rFonts w:asciiTheme="minorEastAsia" w:hAnsiTheme="minorEastAsia" w:cstheme="minorEastAsia"/>
          <w:szCs w:val="21"/>
        </w:rPr>
      </w:pPr>
    </w:p>
    <w:p w14:paraId="472D8C02">
      <w:pPr>
        <w:rPr>
          <w:rFonts w:asciiTheme="minorEastAsia" w:hAnsiTheme="minorEastAsia" w:cstheme="minorEastAsia"/>
          <w:szCs w:val="21"/>
        </w:rPr>
      </w:pPr>
    </w:p>
    <w:p w14:paraId="73E2F846">
      <w:pPr>
        <w:rPr>
          <w:rFonts w:asciiTheme="minorEastAsia" w:hAnsiTheme="minorEastAsia" w:cstheme="minorEastAsia"/>
          <w:szCs w:val="21"/>
        </w:rPr>
      </w:pPr>
    </w:p>
    <w:p w14:paraId="122E9B2C">
      <w:pPr>
        <w:rPr>
          <w:rFonts w:asciiTheme="minorEastAsia" w:hAnsiTheme="minorEastAsia" w:cstheme="minorEastAsia"/>
          <w:szCs w:val="21"/>
        </w:rPr>
      </w:pPr>
    </w:p>
    <w:p w14:paraId="29121363">
      <w:pPr>
        <w:rPr>
          <w:rFonts w:asciiTheme="minorEastAsia" w:hAnsiTheme="minorEastAsia" w:cstheme="minorEastAsia"/>
          <w:szCs w:val="21"/>
        </w:rPr>
      </w:pPr>
    </w:p>
    <w:p w14:paraId="0A54B38A">
      <w:pPr>
        <w:rPr>
          <w:rFonts w:asciiTheme="minorEastAsia" w:hAnsiTheme="minorEastAsia" w:cstheme="minorEastAsia"/>
          <w:szCs w:val="21"/>
        </w:rPr>
      </w:pPr>
    </w:p>
    <w:p w14:paraId="790D2943">
      <w:pPr>
        <w:spacing w:line="360" w:lineRule="auto"/>
        <w:rPr>
          <w:rFonts w:hint="eastAsia" w:asciiTheme="minorEastAsia" w:hAnsiTheme="minorEastAsia" w:cstheme="minorEastAsia"/>
          <w:b/>
          <w:bCs/>
          <w:sz w:val="24"/>
        </w:rPr>
      </w:pPr>
      <w:r>
        <w:rPr>
          <w:rFonts w:hint="eastAsia" w:asciiTheme="minorEastAsia" w:hAnsiTheme="minorEastAsia" w:cstheme="minorEastAsia"/>
          <w:b/>
          <w:bCs/>
          <w:sz w:val="24"/>
        </w:rPr>
        <w:t>样稿</w:t>
      </w:r>
    </w:p>
    <w:p w14:paraId="364954C0">
      <w:pPr>
        <w:spacing w:line="360" w:lineRule="auto"/>
        <w:rPr>
          <w:rFonts w:hint="eastAsia" w:asciiTheme="minorEastAsia" w:hAnsiTheme="minorEastAsia" w:cstheme="minorEastAsia"/>
          <w:b/>
          <w:bCs/>
          <w:sz w:val="24"/>
        </w:rPr>
      </w:pPr>
    </w:p>
    <w:p w14:paraId="3737EBE3">
      <w:pPr>
        <w:spacing w:line="360" w:lineRule="auto"/>
        <w:jc w:val="center"/>
        <w:rPr>
          <w:rFonts w:eastAsia="方正小标宋简体" w:asciiTheme="minorEastAsia" w:hAnsiTheme="minorEastAsia" w:cstheme="minorEastAsia"/>
          <w:b/>
          <w:bCs/>
          <w:sz w:val="36"/>
        </w:rPr>
      </w:pPr>
      <w:r>
        <w:rPr>
          <w:rFonts w:hint="eastAsia" w:eastAsia="方正小标宋简体" w:asciiTheme="minorEastAsia" w:hAnsiTheme="minorEastAsia" w:cstheme="minorEastAsia"/>
          <w:sz w:val="36"/>
        </w:rPr>
        <w:t>一例良性前列腺增生病案报告</w:t>
      </w:r>
    </w:p>
    <w:p w14:paraId="78FF62ED">
      <w:pPr>
        <w:spacing w:line="360" w:lineRule="auto"/>
        <w:rPr>
          <w:rFonts w:asciiTheme="minorEastAsia" w:hAnsiTheme="minorEastAsia" w:cstheme="minorEastAsia"/>
          <w:b/>
          <w:bCs/>
          <w:sz w:val="24"/>
        </w:rPr>
      </w:pPr>
    </w:p>
    <w:p w14:paraId="646E89EE">
      <w:pPr>
        <w:spacing w:line="360" w:lineRule="auto"/>
        <w:rPr>
          <w:rFonts w:asciiTheme="minorEastAsia" w:hAnsiTheme="minorEastAsia" w:cstheme="minorEastAsia"/>
          <w:b/>
          <w:bCs/>
          <w:sz w:val="24"/>
        </w:rPr>
      </w:pPr>
      <w:r>
        <w:rPr>
          <w:rFonts w:asciiTheme="minorEastAsia" w:hAnsiTheme="minorEastAsia" w:cstheme="minorEastAsia"/>
          <w:b/>
          <w:bCs/>
          <w:sz w:val="24"/>
        </w:rPr>
        <w:t>申报人</w:t>
      </w:r>
      <w:r>
        <w:rPr>
          <w:rFonts w:hint="eastAsia" w:asciiTheme="minorEastAsia" w:hAnsiTheme="minorEastAsia" w:cstheme="minorEastAsia"/>
          <w:b/>
          <w:bCs/>
          <w:sz w:val="24"/>
        </w:rPr>
        <w:t>：</w:t>
      </w:r>
      <w:r>
        <w:rPr>
          <w:rFonts w:asciiTheme="minorEastAsia" w:hAnsiTheme="minorEastAsia" w:cstheme="minorEastAsia"/>
          <w:sz w:val="24"/>
        </w:rPr>
        <w:t>***</w:t>
      </w:r>
    </w:p>
    <w:p w14:paraId="6F4B1E27">
      <w:pPr>
        <w:spacing w:line="360" w:lineRule="auto"/>
        <w:rPr>
          <w:rFonts w:asciiTheme="minorEastAsia" w:hAnsiTheme="minorEastAsia" w:cstheme="minorEastAsia"/>
          <w:sz w:val="24"/>
        </w:rPr>
      </w:pPr>
      <w:r>
        <w:rPr>
          <w:rFonts w:asciiTheme="minorEastAsia" w:hAnsiTheme="minorEastAsia" w:cstheme="minorEastAsia"/>
          <w:b/>
          <w:bCs/>
          <w:sz w:val="24"/>
        </w:rPr>
        <w:t>单位</w:t>
      </w:r>
      <w:r>
        <w:rPr>
          <w:rFonts w:hint="eastAsia" w:asciiTheme="minorEastAsia" w:hAnsiTheme="minorEastAsia" w:cstheme="minorEastAsia"/>
          <w:b/>
          <w:bCs/>
          <w:sz w:val="24"/>
        </w:rPr>
        <w:t>：</w:t>
      </w:r>
      <w:bookmarkStart w:id="1" w:name="OLE_LINK1"/>
      <w:r>
        <w:rPr>
          <w:rFonts w:hint="eastAsia" w:asciiTheme="minorEastAsia" w:hAnsiTheme="minorEastAsia" w:cstheme="minorEastAsia"/>
          <w:sz w:val="24"/>
        </w:rPr>
        <w:t>*</w:t>
      </w:r>
      <w:r>
        <w:rPr>
          <w:rFonts w:asciiTheme="minorEastAsia" w:hAnsiTheme="minorEastAsia" w:cstheme="minorEastAsia"/>
          <w:sz w:val="24"/>
        </w:rPr>
        <w:t>*</w:t>
      </w:r>
      <w:bookmarkEnd w:id="1"/>
      <w:r>
        <w:rPr>
          <w:rFonts w:asciiTheme="minorEastAsia" w:hAnsiTheme="minorEastAsia" w:cstheme="minorEastAsia"/>
          <w:sz w:val="24"/>
        </w:rPr>
        <w:t>*</w:t>
      </w:r>
      <w:r>
        <w:rPr>
          <w:rFonts w:hint="eastAsia" w:asciiTheme="minorEastAsia" w:hAnsiTheme="minorEastAsia" w:cstheme="minorEastAsia"/>
          <w:sz w:val="24"/>
        </w:rPr>
        <w:t>社区卫生服务</w:t>
      </w:r>
      <w:r>
        <w:rPr>
          <w:rFonts w:asciiTheme="minorEastAsia" w:hAnsiTheme="minorEastAsia" w:cstheme="minorEastAsia"/>
          <w:sz w:val="24"/>
        </w:rPr>
        <w:t>中心，</w:t>
      </w:r>
      <w:r>
        <w:rPr>
          <w:rFonts w:hint="eastAsia" w:asciiTheme="minorEastAsia" w:hAnsiTheme="minorEastAsia" w:cstheme="minorEastAsia"/>
          <w:sz w:val="24"/>
        </w:rPr>
        <w:t>*</w:t>
      </w:r>
      <w:r>
        <w:rPr>
          <w:rFonts w:asciiTheme="minorEastAsia" w:hAnsiTheme="minorEastAsia" w:cstheme="minorEastAsia"/>
          <w:sz w:val="24"/>
        </w:rPr>
        <w:t>**科</w:t>
      </w:r>
    </w:p>
    <w:p w14:paraId="2E97520F">
      <w:pPr>
        <w:spacing w:line="360" w:lineRule="auto"/>
        <w:rPr>
          <w:rFonts w:asciiTheme="minorEastAsia" w:hAnsiTheme="minorEastAsia" w:cstheme="minorEastAsia"/>
          <w:b/>
          <w:bCs/>
          <w:sz w:val="24"/>
        </w:rPr>
      </w:pPr>
      <w:r>
        <w:rPr>
          <w:rFonts w:asciiTheme="minorEastAsia" w:hAnsiTheme="minorEastAsia" w:cstheme="minorEastAsia"/>
          <w:b/>
          <w:bCs/>
          <w:sz w:val="24"/>
        </w:rPr>
        <w:t>目前职称</w:t>
      </w:r>
      <w:r>
        <w:rPr>
          <w:rFonts w:hint="eastAsia" w:asciiTheme="minorEastAsia" w:hAnsiTheme="minorEastAsia" w:cstheme="minorEastAsia"/>
          <w:b/>
          <w:bCs/>
          <w:sz w:val="24"/>
        </w:rPr>
        <w:t>：</w:t>
      </w:r>
      <w:r>
        <w:rPr>
          <w:rFonts w:hint="eastAsia" w:asciiTheme="minorEastAsia" w:hAnsiTheme="minorEastAsia" w:cstheme="minorEastAsia"/>
          <w:sz w:val="24"/>
        </w:rPr>
        <w:t>主治医师</w:t>
      </w:r>
    </w:p>
    <w:p w14:paraId="7D76E64F">
      <w:pPr>
        <w:spacing w:line="360" w:lineRule="auto"/>
        <w:rPr>
          <w:rFonts w:asciiTheme="minorEastAsia" w:hAnsiTheme="minorEastAsia" w:cstheme="minorEastAsia"/>
          <w:b/>
          <w:bCs/>
          <w:sz w:val="24"/>
        </w:rPr>
      </w:pPr>
      <w:r>
        <w:rPr>
          <w:rFonts w:asciiTheme="minorEastAsia" w:hAnsiTheme="minorEastAsia" w:cstheme="minorEastAsia"/>
          <w:b/>
          <w:bCs/>
          <w:sz w:val="24"/>
        </w:rPr>
        <w:t>拟申报职称</w:t>
      </w:r>
      <w:r>
        <w:rPr>
          <w:rFonts w:hint="eastAsia" w:asciiTheme="minorEastAsia" w:hAnsiTheme="minorEastAsia" w:cstheme="minorEastAsia"/>
          <w:b/>
          <w:bCs/>
          <w:sz w:val="24"/>
        </w:rPr>
        <w:t>：</w:t>
      </w:r>
      <w:r>
        <w:rPr>
          <w:rFonts w:hint="eastAsia" w:asciiTheme="minorEastAsia" w:hAnsiTheme="minorEastAsia" w:cstheme="minorEastAsia"/>
          <w:sz w:val="24"/>
        </w:rPr>
        <w:t>副主任医师</w:t>
      </w:r>
    </w:p>
    <w:p w14:paraId="6D15C0B6">
      <w:pPr>
        <w:spacing w:line="360" w:lineRule="auto"/>
        <w:rPr>
          <w:rFonts w:asciiTheme="minorEastAsia" w:hAnsiTheme="minorEastAsia" w:cstheme="minorEastAsia"/>
          <w:b/>
          <w:bCs/>
          <w:sz w:val="24"/>
        </w:rPr>
      </w:pPr>
      <w:r>
        <w:rPr>
          <w:rFonts w:asciiTheme="minorEastAsia" w:hAnsiTheme="minorEastAsia" w:cstheme="minorEastAsia"/>
          <w:b/>
          <w:bCs/>
          <w:sz w:val="24"/>
        </w:rPr>
        <w:t>拟申报专业</w:t>
      </w:r>
      <w:r>
        <w:rPr>
          <w:rFonts w:hint="eastAsia" w:asciiTheme="minorEastAsia" w:hAnsiTheme="minorEastAsia" w:cstheme="minorEastAsia"/>
          <w:b/>
          <w:bCs/>
          <w:sz w:val="24"/>
        </w:rPr>
        <w:t>：</w:t>
      </w:r>
      <w:r>
        <w:rPr>
          <w:rFonts w:hint="eastAsia" w:asciiTheme="minorEastAsia" w:hAnsiTheme="minorEastAsia" w:cstheme="minorEastAsia"/>
          <w:sz w:val="24"/>
        </w:rPr>
        <w:t>全科</w:t>
      </w:r>
    </w:p>
    <w:p w14:paraId="48B6AA2D">
      <w:pPr>
        <w:spacing w:line="360" w:lineRule="auto"/>
        <w:ind w:firstLine="480" w:firstLineChars="200"/>
        <w:rPr>
          <w:rFonts w:asciiTheme="minorEastAsia" w:hAnsiTheme="minorEastAsia" w:cstheme="minorEastAsia"/>
          <w:sz w:val="24"/>
        </w:rPr>
      </w:pPr>
    </w:p>
    <w:p w14:paraId="6F5C5348">
      <w:pPr>
        <w:spacing w:line="360" w:lineRule="auto"/>
        <w:ind w:firstLine="480" w:firstLineChars="200"/>
        <w:rPr>
          <w:rFonts w:asciiTheme="minorEastAsia" w:hAnsiTheme="minorEastAsia" w:cstheme="minorEastAsia"/>
          <w:sz w:val="24"/>
        </w:rPr>
      </w:pPr>
      <w:r>
        <w:rPr>
          <w:rFonts w:asciiTheme="minorEastAsia" w:hAnsiTheme="minorEastAsia" w:cstheme="minorEastAsia"/>
          <w:sz w:val="24"/>
        </w:rPr>
        <w:t>良性前列腺增生(BPH)是引起中老年男性排尿障碍原因中最为常见的一种良性疾病。发病率</w:t>
      </w:r>
      <w:r>
        <w:rPr>
          <w:rFonts w:hint="eastAsia" w:asciiTheme="minorEastAsia" w:hAnsiTheme="minorEastAsia" w:cstheme="minorEastAsia"/>
          <w:sz w:val="24"/>
        </w:rPr>
        <w:t>、</w:t>
      </w:r>
      <w:r>
        <w:rPr>
          <w:rFonts w:asciiTheme="minorEastAsia" w:hAnsiTheme="minorEastAsia" w:cstheme="minorEastAsia"/>
          <w:sz w:val="24"/>
        </w:rPr>
        <w:t>排尿困难等症状随年龄的增长而增加</w:t>
      </w:r>
      <w:r>
        <w:rPr>
          <w:rFonts w:hint="eastAsia" w:asciiTheme="minorEastAsia" w:hAnsiTheme="minorEastAsia" w:cstheme="minorEastAsia"/>
          <w:sz w:val="24"/>
        </w:rPr>
        <w:t>。</w:t>
      </w:r>
      <w:r>
        <w:rPr>
          <w:rFonts w:asciiTheme="minorEastAsia" w:hAnsiTheme="minorEastAsia" w:cstheme="minorEastAsia"/>
          <w:sz w:val="24"/>
        </w:rPr>
        <w:t>有研究表明似乎亚洲人较美洲人更易于产生中</w:t>
      </w:r>
      <w:r>
        <w:rPr>
          <w:rFonts w:hint="eastAsia" w:asciiTheme="minorEastAsia" w:hAnsiTheme="minorEastAsia" w:cstheme="minorEastAsia"/>
          <w:sz w:val="24"/>
        </w:rPr>
        <w:t>—</w:t>
      </w:r>
      <w:r>
        <w:rPr>
          <w:rFonts w:asciiTheme="minorEastAsia" w:hAnsiTheme="minorEastAsia" w:cstheme="minorEastAsia"/>
          <w:sz w:val="24"/>
        </w:rPr>
        <w:t>重度BPH相关症状。若增生组织明显压迫前列腺部尿道,可造成膀胱出口部梗阻而出现排尿困难的相关症状,临床上表现为尿频、尿急、夜间尿次增加和排尿费力,并导致急性尿潴留、泌尿道感染、膀胱憩室、结石、肾积水、肾衰竭等并发症,对老年男性的生活质量产生严重影响。</w:t>
      </w:r>
    </w:p>
    <w:p w14:paraId="450C44D6">
      <w:pPr>
        <w:spacing w:line="360" w:lineRule="auto"/>
        <w:ind w:firstLine="480" w:firstLineChars="200"/>
        <w:rPr>
          <w:rFonts w:asciiTheme="minorEastAsia" w:hAnsiTheme="minorEastAsia" w:cstheme="minorEastAsia"/>
          <w:sz w:val="24"/>
        </w:rPr>
      </w:pPr>
    </w:p>
    <w:p w14:paraId="409A1F73">
      <w:pPr>
        <w:numPr>
          <w:ilvl w:val="0"/>
          <w:numId w:val="3"/>
        </w:numPr>
        <w:spacing w:line="360" w:lineRule="auto"/>
        <w:rPr>
          <w:rFonts w:asciiTheme="minorEastAsia" w:hAnsiTheme="minorEastAsia" w:cstheme="minorEastAsia"/>
          <w:b/>
          <w:bCs/>
          <w:sz w:val="24"/>
        </w:rPr>
      </w:pPr>
      <w:r>
        <w:rPr>
          <w:rFonts w:asciiTheme="minorEastAsia" w:hAnsiTheme="minorEastAsia" w:cstheme="minorEastAsia"/>
          <w:b/>
          <w:bCs/>
          <w:sz w:val="24"/>
        </w:rPr>
        <w:t>病例资料</w:t>
      </w:r>
    </w:p>
    <w:p w14:paraId="341E2913">
      <w:pPr>
        <w:numPr>
          <w:ilvl w:val="1"/>
          <w:numId w:val="3"/>
        </w:numPr>
        <w:spacing w:line="360" w:lineRule="auto"/>
        <w:rPr>
          <w:rFonts w:asciiTheme="minorEastAsia" w:hAnsiTheme="minorEastAsia" w:cstheme="minorEastAsia"/>
          <w:sz w:val="24"/>
        </w:rPr>
      </w:pPr>
      <w:r>
        <w:rPr>
          <w:rFonts w:asciiTheme="minorEastAsia" w:hAnsiTheme="minorEastAsia" w:cstheme="minorEastAsia"/>
          <w:sz w:val="24"/>
        </w:rPr>
        <w:t xml:space="preserve"> S（Subjective data  主观资料）</w:t>
      </w:r>
    </w:p>
    <w:p w14:paraId="2039E033">
      <w:pPr>
        <w:spacing w:line="360" w:lineRule="auto"/>
        <w:ind w:firstLine="480" w:firstLineChars="200"/>
        <w:rPr>
          <w:rFonts w:hint="default" w:asciiTheme="minorEastAsia" w:hAnsiTheme="minorEastAsia" w:eastAsiaTheme="minorEastAsia" w:cstheme="minorEastAsia"/>
          <w:sz w:val="24"/>
          <w:lang w:val="en-US" w:eastAsia="zh-CN"/>
        </w:rPr>
      </w:pPr>
      <w:r>
        <w:rPr>
          <w:rFonts w:asciiTheme="minorEastAsia" w:hAnsiTheme="minorEastAsia" w:cstheme="minorEastAsia"/>
          <w:sz w:val="24"/>
        </w:rPr>
        <w:t>患者</w:t>
      </w:r>
      <w:r>
        <w:rPr>
          <w:rFonts w:hint="eastAsia" w:asciiTheme="minorEastAsia" w:hAnsiTheme="minorEastAsia" w:cstheme="minorEastAsia"/>
          <w:sz w:val="24"/>
        </w:rPr>
        <w:t>：</w:t>
      </w:r>
      <w:r>
        <w:rPr>
          <w:rFonts w:hint="eastAsia" w:asciiTheme="minorEastAsia" w:hAnsiTheme="minorEastAsia" w:cstheme="minorEastAsia"/>
          <w:sz w:val="24"/>
          <w:lang w:val="en-US" w:eastAsia="zh-CN"/>
        </w:rPr>
        <w:t>***</w:t>
      </w:r>
      <w:r>
        <w:rPr>
          <w:rFonts w:hint="eastAsia" w:asciiTheme="minorEastAsia" w:hAnsiTheme="minorEastAsia" w:cstheme="minorEastAsia"/>
          <w:sz w:val="24"/>
        </w:rPr>
        <w:t>，性别：男性，年龄：62岁，接诊日期：2024年3月20日，病历号：</w:t>
      </w:r>
      <w:r>
        <w:rPr>
          <w:rFonts w:hint="eastAsia" w:asciiTheme="minorEastAsia" w:hAnsiTheme="minorEastAsia" w:cstheme="minorEastAsia"/>
          <w:sz w:val="24"/>
          <w:lang w:val="en-US" w:eastAsia="zh-CN"/>
        </w:rPr>
        <w:t>********</w:t>
      </w:r>
    </w:p>
    <w:p w14:paraId="46993410">
      <w:pPr>
        <w:spacing w:line="360" w:lineRule="auto"/>
        <w:ind w:firstLine="480" w:firstLineChars="200"/>
        <w:rPr>
          <w:rFonts w:asciiTheme="minorEastAsia" w:hAnsiTheme="minorEastAsia" w:cstheme="minorEastAsia"/>
          <w:sz w:val="24"/>
        </w:rPr>
      </w:pPr>
      <w:r>
        <w:rPr>
          <w:rFonts w:asciiTheme="minorEastAsia" w:hAnsiTheme="minorEastAsia" w:cstheme="minorEastAsia"/>
          <w:sz w:val="24"/>
        </w:rPr>
        <w:t>主诉：</w:t>
      </w:r>
      <w:r>
        <w:rPr>
          <w:rFonts w:hint="eastAsia" w:asciiTheme="minorEastAsia" w:hAnsiTheme="minorEastAsia" w:cstheme="minorEastAsia"/>
          <w:sz w:val="24"/>
        </w:rPr>
        <w:t>尿频、尿急、排尿不尽2年余，加重2个月</w:t>
      </w:r>
    </w:p>
    <w:p w14:paraId="71FD424B">
      <w:pPr>
        <w:spacing w:line="360" w:lineRule="auto"/>
        <w:ind w:firstLine="480" w:firstLineChars="200"/>
        <w:rPr>
          <w:rFonts w:asciiTheme="minorEastAsia" w:hAnsiTheme="minorEastAsia" w:cstheme="minorEastAsia"/>
          <w:sz w:val="24"/>
        </w:rPr>
      </w:pPr>
      <w:r>
        <w:rPr>
          <w:rFonts w:asciiTheme="minorEastAsia" w:hAnsiTheme="minorEastAsia" w:cstheme="minorEastAsia"/>
          <w:sz w:val="24"/>
        </w:rPr>
        <w:t>现病史：</w:t>
      </w:r>
      <w:r>
        <w:rPr>
          <w:rFonts w:hint="eastAsia" w:asciiTheme="minorEastAsia" w:hAnsiTheme="minorEastAsia" w:cstheme="minorEastAsia"/>
          <w:sz w:val="24"/>
        </w:rPr>
        <w:t>2年前无明显诱因偶尔出现尿频、尿急、排尿不尽，未引起患者重视，未曾就诊，未服用药物及其他方法治疗。2年来上述症状无明显进行性加重。近1个月来无诱因自觉排尿费力、尿线变细，原有尿频、尿急、排尿不尽夜间明显加重。1个月来无尿痛、腰痛、血尿、水肿；无会阴部疼痛、尿道口烧灼感、尿液浑浊；无尿失禁、尿潴留；无恶心、呕吐、贫血；无乏力、体重减轻；无多饮、多尿、多食等不适。</w:t>
      </w:r>
    </w:p>
    <w:p w14:paraId="1098BF27">
      <w:pPr>
        <w:spacing w:line="360" w:lineRule="auto"/>
        <w:ind w:firstLine="480" w:firstLineChars="200"/>
        <w:rPr>
          <w:rFonts w:asciiTheme="minorEastAsia" w:hAnsiTheme="minorEastAsia" w:cstheme="minorEastAsia"/>
          <w:sz w:val="24"/>
        </w:rPr>
      </w:pPr>
      <w:r>
        <w:rPr>
          <w:rFonts w:asciiTheme="minorEastAsia" w:hAnsiTheme="minorEastAsia" w:cstheme="minorEastAsia"/>
          <w:sz w:val="24"/>
        </w:rPr>
        <w:t>既往史：</w:t>
      </w:r>
      <w:r>
        <w:rPr>
          <w:rFonts w:hint="eastAsia" w:asciiTheme="minorEastAsia" w:hAnsiTheme="minorEastAsia" w:cstheme="minorEastAsia"/>
          <w:sz w:val="24"/>
        </w:rPr>
        <w:t>否认</w:t>
      </w:r>
      <w:r>
        <w:rPr>
          <w:rFonts w:asciiTheme="minorEastAsia" w:hAnsiTheme="minorEastAsia" w:cstheme="minorEastAsia"/>
          <w:sz w:val="24"/>
        </w:rPr>
        <w:t>家族</w:t>
      </w:r>
      <w:r>
        <w:rPr>
          <w:rFonts w:hint="eastAsia" w:asciiTheme="minorEastAsia" w:hAnsiTheme="minorEastAsia" w:cstheme="minorEastAsia"/>
          <w:sz w:val="24"/>
        </w:rPr>
        <w:t>及遗传病</w:t>
      </w:r>
      <w:r>
        <w:rPr>
          <w:rFonts w:asciiTheme="minorEastAsia" w:hAnsiTheme="minorEastAsia" w:cstheme="minorEastAsia"/>
          <w:sz w:val="24"/>
        </w:rPr>
        <w:t>史</w:t>
      </w:r>
      <w:r>
        <w:rPr>
          <w:rFonts w:hint="eastAsia" w:asciiTheme="minorEastAsia" w:hAnsiTheme="minorEastAsia" w:cstheme="minorEastAsia"/>
          <w:sz w:val="24"/>
        </w:rPr>
        <w:t>；否认</w:t>
      </w:r>
      <w:r>
        <w:rPr>
          <w:rFonts w:asciiTheme="minorEastAsia" w:hAnsiTheme="minorEastAsia" w:cstheme="minorEastAsia"/>
          <w:sz w:val="24"/>
        </w:rPr>
        <w:t>手术史</w:t>
      </w:r>
      <w:r>
        <w:rPr>
          <w:rFonts w:hint="eastAsia" w:asciiTheme="minorEastAsia" w:hAnsiTheme="minorEastAsia" w:cstheme="minorEastAsia"/>
          <w:sz w:val="24"/>
        </w:rPr>
        <w:t>及外伤史；否认慢性病史。否认性传播疾病史。</w:t>
      </w:r>
      <w:r>
        <w:rPr>
          <w:rFonts w:asciiTheme="minorEastAsia" w:hAnsiTheme="minorEastAsia" w:cstheme="minorEastAsia"/>
          <w:sz w:val="24"/>
        </w:rPr>
        <w:t>心理状况</w:t>
      </w:r>
      <w:r>
        <w:rPr>
          <w:rFonts w:hint="eastAsia" w:asciiTheme="minorEastAsia" w:hAnsiTheme="minorEastAsia" w:cstheme="minorEastAsia"/>
          <w:sz w:val="24"/>
        </w:rPr>
        <w:t>良好</w:t>
      </w:r>
      <w:r>
        <w:rPr>
          <w:rFonts w:asciiTheme="minorEastAsia" w:hAnsiTheme="minorEastAsia" w:cstheme="minorEastAsia"/>
          <w:sz w:val="24"/>
        </w:rPr>
        <w:t>，</w:t>
      </w:r>
      <w:r>
        <w:rPr>
          <w:rFonts w:hint="eastAsia" w:asciiTheme="minorEastAsia" w:hAnsiTheme="minorEastAsia" w:cstheme="minorEastAsia"/>
          <w:sz w:val="24"/>
        </w:rPr>
        <w:t>否认</w:t>
      </w:r>
      <w:r>
        <w:rPr>
          <w:rFonts w:asciiTheme="minorEastAsia" w:hAnsiTheme="minorEastAsia" w:cstheme="minorEastAsia"/>
          <w:sz w:val="24"/>
        </w:rPr>
        <w:t>流行病学史</w:t>
      </w:r>
      <w:r>
        <w:rPr>
          <w:rFonts w:hint="eastAsia" w:asciiTheme="minorEastAsia" w:hAnsiTheme="minorEastAsia" w:cstheme="minorEastAsia"/>
          <w:sz w:val="24"/>
        </w:rPr>
        <w:t>及流行病接触史</w:t>
      </w:r>
      <w:r>
        <w:rPr>
          <w:rFonts w:asciiTheme="minorEastAsia" w:hAnsiTheme="minorEastAsia" w:cstheme="minorEastAsia"/>
          <w:sz w:val="24"/>
        </w:rPr>
        <w:t>等</w:t>
      </w:r>
      <w:r>
        <w:rPr>
          <w:rFonts w:hint="eastAsia" w:asciiTheme="minorEastAsia" w:hAnsiTheme="minorEastAsia" w:cstheme="minorEastAsia"/>
          <w:sz w:val="24"/>
        </w:rPr>
        <w:t>。否认药物过敏史。</w:t>
      </w:r>
    </w:p>
    <w:p w14:paraId="09286D7C">
      <w:pPr>
        <w:spacing w:line="360" w:lineRule="auto"/>
        <w:ind w:firstLine="480" w:firstLineChars="200"/>
        <w:rPr>
          <w:rFonts w:asciiTheme="minorEastAsia" w:hAnsiTheme="minorEastAsia" w:cstheme="minorEastAsia"/>
          <w:sz w:val="24"/>
        </w:rPr>
      </w:pPr>
      <w:r>
        <w:rPr>
          <w:rFonts w:asciiTheme="minorEastAsia" w:hAnsiTheme="minorEastAsia" w:cstheme="minorEastAsia"/>
          <w:sz w:val="24"/>
        </w:rPr>
        <w:t>生活习惯：</w:t>
      </w:r>
      <w:r>
        <w:rPr>
          <w:rFonts w:hint="eastAsia" w:asciiTheme="minorEastAsia" w:hAnsiTheme="minorEastAsia" w:cstheme="minorEastAsia"/>
          <w:sz w:val="24"/>
        </w:rPr>
        <w:t>否认吸烟、饮酒等嗜好；每日主食200克左右，饮食均衡，否认高盐、高脂、高糖饮食习惯；有氧运动每周3次以上，每次60分钟左右；喜久坐；否认近期应激性生活事件。社会适应良好。</w:t>
      </w:r>
    </w:p>
    <w:p w14:paraId="29F8E704">
      <w:pPr>
        <w:numPr>
          <w:ilvl w:val="1"/>
          <w:numId w:val="3"/>
        </w:numPr>
        <w:spacing w:line="360" w:lineRule="auto"/>
        <w:rPr>
          <w:rFonts w:asciiTheme="minorEastAsia" w:hAnsiTheme="minorEastAsia" w:cstheme="minorEastAsia"/>
          <w:sz w:val="24"/>
        </w:rPr>
      </w:pPr>
      <w:r>
        <w:rPr>
          <w:rFonts w:asciiTheme="minorEastAsia" w:hAnsiTheme="minorEastAsia" w:cstheme="minorEastAsia"/>
          <w:sz w:val="24"/>
        </w:rPr>
        <w:t xml:space="preserve"> O （Objective data  客观资料）</w:t>
      </w:r>
    </w:p>
    <w:p w14:paraId="60F4A362">
      <w:pPr>
        <w:spacing w:line="360" w:lineRule="auto"/>
        <w:rPr>
          <w:rFonts w:asciiTheme="minorEastAsia" w:hAnsiTheme="minorEastAsia" w:cstheme="minorEastAsia"/>
          <w:sz w:val="24"/>
        </w:rPr>
      </w:pPr>
      <w:bookmarkStart w:id="2" w:name="OLE_LINK5"/>
      <w:r>
        <w:rPr>
          <w:rFonts w:asciiTheme="minorEastAsia" w:hAnsiTheme="minorEastAsia" w:cstheme="minorEastAsia"/>
          <w:sz w:val="24"/>
        </w:rPr>
        <w:t>1.2.1体格检查</w:t>
      </w:r>
    </w:p>
    <w:p w14:paraId="1BA69709">
      <w:pPr>
        <w:spacing w:line="360" w:lineRule="auto"/>
        <w:ind w:firstLine="480" w:firstLineChars="200"/>
        <w:rPr>
          <w:rFonts w:asciiTheme="minorEastAsia" w:hAnsiTheme="minorEastAsia" w:cstheme="minorEastAsia"/>
          <w:sz w:val="24"/>
        </w:rPr>
      </w:pPr>
      <w:r>
        <w:rPr>
          <w:rFonts w:asciiTheme="minorEastAsia" w:hAnsiTheme="minorEastAsia" w:cstheme="minorEastAsia"/>
          <w:sz w:val="24"/>
        </w:rPr>
        <w:t>身高160cm，体重60kg，BMI：23.4，体温36.5℃，脉搏76次/分，血压120/80mmHg。</w:t>
      </w:r>
    </w:p>
    <w:p w14:paraId="081A6A8B">
      <w:pPr>
        <w:spacing w:line="360" w:lineRule="auto"/>
        <w:ind w:firstLine="480" w:firstLineChars="200"/>
        <w:rPr>
          <w:rFonts w:asciiTheme="minorEastAsia" w:hAnsiTheme="minorEastAsia" w:cstheme="minorEastAsia"/>
          <w:sz w:val="24"/>
        </w:rPr>
      </w:pPr>
      <w:r>
        <w:rPr>
          <w:rFonts w:asciiTheme="minorEastAsia" w:hAnsiTheme="minorEastAsia" w:cstheme="minorEastAsia"/>
          <w:sz w:val="24"/>
        </w:rPr>
        <w:t>发育正常，营养良好，神志清楚，查体合作。</w:t>
      </w:r>
      <w:r>
        <w:rPr>
          <w:rFonts w:hint="eastAsia" w:asciiTheme="minorEastAsia" w:hAnsiTheme="minorEastAsia" w:cstheme="minorEastAsia"/>
          <w:sz w:val="24"/>
        </w:rPr>
        <w:t>全身</w:t>
      </w:r>
      <w:r>
        <w:rPr>
          <w:rFonts w:asciiTheme="minorEastAsia" w:hAnsiTheme="minorEastAsia" w:cstheme="minorEastAsia"/>
          <w:sz w:val="24"/>
        </w:rPr>
        <w:t>皮肤粘膜</w:t>
      </w:r>
      <w:r>
        <w:rPr>
          <w:rFonts w:hint="eastAsia" w:asciiTheme="minorEastAsia" w:hAnsiTheme="minorEastAsia" w:cstheme="minorEastAsia"/>
          <w:sz w:val="24"/>
        </w:rPr>
        <w:t>无异常</w:t>
      </w:r>
      <w:r>
        <w:rPr>
          <w:rFonts w:asciiTheme="minorEastAsia" w:hAnsiTheme="minorEastAsia" w:cstheme="minorEastAsia"/>
          <w:sz w:val="24"/>
        </w:rPr>
        <w:t>。浅表淋巴结</w:t>
      </w:r>
      <w:r>
        <w:rPr>
          <w:rFonts w:hint="eastAsia" w:asciiTheme="minorEastAsia" w:hAnsiTheme="minorEastAsia" w:cstheme="minorEastAsia"/>
          <w:sz w:val="24"/>
        </w:rPr>
        <w:t>无</w:t>
      </w:r>
      <w:r>
        <w:rPr>
          <w:rFonts w:asciiTheme="minorEastAsia" w:hAnsiTheme="minorEastAsia" w:cstheme="minorEastAsia"/>
          <w:sz w:val="24"/>
        </w:rPr>
        <w:t>肿大。巩膜无黄染。双侧乳突无压痛。副鼻窦无压痛。</w:t>
      </w:r>
      <w:r>
        <w:rPr>
          <w:rFonts w:hint="eastAsia" w:asciiTheme="minorEastAsia" w:hAnsiTheme="minorEastAsia" w:cstheme="minorEastAsia"/>
          <w:sz w:val="24"/>
        </w:rPr>
        <w:t>口唇无紫绀，</w:t>
      </w:r>
      <w:r>
        <w:rPr>
          <w:rFonts w:asciiTheme="minorEastAsia" w:hAnsiTheme="minorEastAsia" w:cstheme="minorEastAsia"/>
          <w:sz w:val="24"/>
        </w:rPr>
        <w:t>咽部</w:t>
      </w:r>
      <w:r>
        <w:rPr>
          <w:rFonts w:hint="eastAsia" w:asciiTheme="minorEastAsia" w:hAnsiTheme="minorEastAsia" w:cstheme="minorEastAsia"/>
          <w:sz w:val="24"/>
        </w:rPr>
        <w:t>无充血</w:t>
      </w:r>
      <w:r>
        <w:rPr>
          <w:rFonts w:asciiTheme="minorEastAsia" w:hAnsiTheme="minorEastAsia" w:cstheme="minorEastAsia"/>
          <w:sz w:val="24"/>
        </w:rPr>
        <w:t>，双侧扁桃体</w:t>
      </w:r>
      <w:r>
        <w:rPr>
          <w:rFonts w:hint="eastAsia" w:asciiTheme="minorEastAsia" w:hAnsiTheme="minorEastAsia" w:cstheme="minorEastAsia"/>
          <w:sz w:val="24"/>
        </w:rPr>
        <w:t>无</w:t>
      </w:r>
      <w:r>
        <w:rPr>
          <w:rFonts w:asciiTheme="minorEastAsia" w:hAnsiTheme="minorEastAsia" w:cstheme="minorEastAsia"/>
          <w:sz w:val="24"/>
        </w:rPr>
        <w:t>肿大。颈</w:t>
      </w:r>
      <w:r>
        <w:rPr>
          <w:rFonts w:hint="eastAsia" w:asciiTheme="minorEastAsia" w:hAnsiTheme="minorEastAsia" w:cstheme="minorEastAsia"/>
          <w:sz w:val="24"/>
        </w:rPr>
        <w:t>软，</w:t>
      </w:r>
      <w:r>
        <w:rPr>
          <w:rFonts w:asciiTheme="minorEastAsia" w:hAnsiTheme="minorEastAsia" w:cstheme="minorEastAsia"/>
          <w:sz w:val="24"/>
        </w:rPr>
        <w:t>肝-颈静脉回流征（-）。甲状腺</w:t>
      </w:r>
      <w:r>
        <w:rPr>
          <w:rFonts w:hint="eastAsia" w:asciiTheme="minorEastAsia" w:hAnsiTheme="minorEastAsia" w:cstheme="minorEastAsia"/>
          <w:sz w:val="24"/>
        </w:rPr>
        <w:t>无</w:t>
      </w:r>
      <w:r>
        <w:rPr>
          <w:rFonts w:asciiTheme="minorEastAsia" w:hAnsiTheme="minorEastAsia" w:cstheme="minorEastAsia"/>
          <w:sz w:val="24"/>
        </w:rPr>
        <w:t>肿大，未闻及杂音。胸廓无畸形，叩诊清音，呼吸1</w:t>
      </w:r>
      <w:r>
        <w:rPr>
          <w:rFonts w:hint="eastAsia" w:asciiTheme="minorEastAsia" w:hAnsiTheme="minorEastAsia" w:cstheme="minorEastAsia"/>
          <w:sz w:val="24"/>
        </w:rPr>
        <w:t>8</w:t>
      </w:r>
      <w:r>
        <w:rPr>
          <w:rFonts w:asciiTheme="minorEastAsia" w:hAnsiTheme="minorEastAsia" w:cstheme="minorEastAsia"/>
          <w:sz w:val="24"/>
        </w:rPr>
        <w:t>次/分，双肺呼吸音清。</w:t>
      </w:r>
      <w:r>
        <w:rPr>
          <w:rFonts w:hint="eastAsia" w:asciiTheme="minorEastAsia" w:hAnsiTheme="minorEastAsia" w:cstheme="minorEastAsia"/>
          <w:sz w:val="24"/>
        </w:rPr>
        <w:t>心前区无隆起，</w:t>
      </w:r>
      <w:r>
        <w:rPr>
          <w:rFonts w:asciiTheme="minorEastAsia" w:hAnsiTheme="minorEastAsia" w:cstheme="minorEastAsia"/>
          <w:sz w:val="24"/>
        </w:rPr>
        <w:t>心界</w:t>
      </w:r>
      <w:r>
        <w:rPr>
          <w:rFonts w:hint="eastAsia" w:asciiTheme="minorEastAsia" w:hAnsiTheme="minorEastAsia" w:cstheme="minorEastAsia"/>
          <w:sz w:val="24"/>
        </w:rPr>
        <w:t>无扩大，</w:t>
      </w:r>
      <w:r>
        <w:rPr>
          <w:rFonts w:asciiTheme="minorEastAsia" w:hAnsiTheme="minorEastAsia" w:cstheme="minorEastAsia"/>
          <w:sz w:val="24"/>
        </w:rPr>
        <w:t>心率76次/分，心律齐，</w:t>
      </w:r>
      <w:r>
        <w:rPr>
          <w:rFonts w:hint="eastAsia" w:asciiTheme="minorEastAsia" w:hAnsiTheme="minorEastAsia" w:cstheme="minorEastAsia"/>
          <w:sz w:val="24"/>
        </w:rPr>
        <w:t>各瓣膜听诊区</w:t>
      </w:r>
      <w:r>
        <w:rPr>
          <w:rFonts w:asciiTheme="minorEastAsia" w:hAnsiTheme="minorEastAsia" w:cstheme="minorEastAsia"/>
          <w:sz w:val="24"/>
        </w:rPr>
        <w:t>未闻及杂音。腹部</w:t>
      </w:r>
      <w:r>
        <w:rPr>
          <w:rFonts w:hint="eastAsia" w:asciiTheme="minorEastAsia" w:hAnsiTheme="minorEastAsia" w:cstheme="minorEastAsia"/>
          <w:sz w:val="24"/>
        </w:rPr>
        <w:t>无局部隆起，</w:t>
      </w:r>
      <w:r>
        <w:rPr>
          <w:rFonts w:asciiTheme="minorEastAsia" w:hAnsiTheme="minorEastAsia" w:cstheme="minorEastAsia"/>
          <w:sz w:val="24"/>
        </w:rPr>
        <w:t>腹软，</w:t>
      </w:r>
      <w:r>
        <w:rPr>
          <w:rFonts w:hint="eastAsia" w:asciiTheme="minorEastAsia" w:hAnsiTheme="minorEastAsia" w:cstheme="minorEastAsia"/>
          <w:sz w:val="24"/>
        </w:rPr>
        <w:t>未触及包块，</w:t>
      </w:r>
      <w:r>
        <w:rPr>
          <w:rFonts w:asciiTheme="minorEastAsia" w:hAnsiTheme="minorEastAsia" w:cstheme="minorEastAsia"/>
          <w:sz w:val="24"/>
        </w:rPr>
        <w:t>无压痛及反跳痛，肝脾未触及，</w:t>
      </w:r>
      <w:r>
        <w:rPr>
          <w:rFonts w:hint="eastAsia" w:asciiTheme="minorEastAsia" w:hAnsiTheme="minorEastAsia" w:cstheme="minorEastAsia"/>
          <w:sz w:val="24"/>
        </w:rPr>
        <w:t>双</w:t>
      </w:r>
      <w:r>
        <w:rPr>
          <w:rFonts w:asciiTheme="minorEastAsia" w:hAnsiTheme="minorEastAsia" w:cstheme="minorEastAsia"/>
          <w:sz w:val="24"/>
        </w:rPr>
        <w:t>肾区无叩击痛。肠鸣音正常。脊柱四肢</w:t>
      </w:r>
      <w:r>
        <w:rPr>
          <w:rFonts w:hint="eastAsia" w:asciiTheme="minorEastAsia" w:hAnsiTheme="minorEastAsia" w:cstheme="minorEastAsia"/>
          <w:sz w:val="24"/>
        </w:rPr>
        <w:t>无</w:t>
      </w:r>
      <w:r>
        <w:rPr>
          <w:rFonts w:asciiTheme="minorEastAsia" w:hAnsiTheme="minorEastAsia" w:cstheme="minorEastAsia"/>
          <w:sz w:val="24"/>
        </w:rPr>
        <w:t>畸形，双下肢无水肿。</w:t>
      </w:r>
      <w:r>
        <w:rPr>
          <w:rFonts w:hint="eastAsia" w:asciiTheme="minorEastAsia" w:hAnsiTheme="minorEastAsia" w:cstheme="minorEastAsia"/>
          <w:sz w:val="24"/>
        </w:rPr>
        <w:t>直肠指诊患者拒绝。</w:t>
      </w:r>
    </w:p>
    <w:p w14:paraId="43BE19BA">
      <w:pPr>
        <w:spacing w:line="360" w:lineRule="auto"/>
        <w:rPr>
          <w:rFonts w:asciiTheme="minorEastAsia" w:hAnsiTheme="minorEastAsia" w:cstheme="minorEastAsia"/>
          <w:sz w:val="24"/>
        </w:rPr>
      </w:pPr>
      <w:r>
        <w:rPr>
          <w:rFonts w:asciiTheme="minorEastAsia" w:hAnsiTheme="minorEastAsia" w:cstheme="minorEastAsia"/>
          <w:sz w:val="24"/>
        </w:rPr>
        <w:t>1.2.2辅助检查</w:t>
      </w:r>
    </w:p>
    <w:p w14:paraId="690F23E4">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尿常规+微量白蛋白：正常；血常规：正常；肾功能、血糖正常；前列腺肿瘤标志物：正常。</w:t>
      </w:r>
    </w:p>
    <w:p w14:paraId="05A2BBF5">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泌尿系超声：双肾、膀胱未见异常，前列腺肥大。前列腺体积5.5×4×3.2cm。</w:t>
      </w:r>
    </w:p>
    <w:p w14:paraId="3CA48160">
      <w:pPr>
        <w:spacing w:line="360" w:lineRule="auto"/>
        <w:rPr>
          <w:rFonts w:asciiTheme="minorEastAsia" w:hAnsiTheme="minorEastAsia" w:cstheme="minorEastAsia"/>
          <w:sz w:val="24"/>
        </w:rPr>
      </w:pPr>
      <w:r>
        <w:rPr>
          <w:rFonts w:asciiTheme="minorEastAsia" w:hAnsiTheme="minorEastAsia" w:cstheme="minorEastAsia"/>
          <w:sz w:val="24"/>
        </w:rPr>
        <w:t>1.2.3评估内容</w:t>
      </w:r>
    </w:p>
    <w:p w14:paraId="24E025FF">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国际前列腺症状评分表（I-PSS）</w:t>
      </w:r>
    </w:p>
    <w:p w14:paraId="400223F6">
      <w:pPr>
        <w:spacing w:line="360" w:lineRule="auto"/>
        <w:ind w:left="0" w:leftChars="0" w:firstLine="0" w:firstLineChars="0"/>
        <w:rPr>
          <w:rFonts w:asciiTheme="minorEastAsia" w:hAnsiTheme="minorEastAsia" w:cstheme="minorEastAsia"/>
          <w:sz w:val="24"/>
        </w:rPr>
      </w:pPr>
      <w:r>
        <w:rPr>
          <w:rFonts w:asciiTheme="minorEastAsia" w:hAnsiTheme="minorEastAsia" w:cstheme="minorEastAsia"/>
          <w:sz w:val="24"/>
        </w:rPr>
        <w:drawing>
          <wp:inline distT="0" distB="0" distL="114300" distR="114300">
            <wp:extent cx="5274310" cy="1574800"/>
            <wp:effectExtent l="0" t="0" r="13970" b="10160"/>
            <wp:docPr id="4" name="图片 4" descr="17184435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718443511(1)"/>
                    <pic:cNvPicPr>
                      <a:picLocks noChangeAspect="1"/>
                    </pic:cNvPicPr>
                  </pic:nvPicPr>
                  <pic:blipFill>
                    <a:blip r:embed="rId15"/>
                    <a:stretch>
                      <a:fillRect/>
                    </a:stretch>
                  </pic:blipFill>
                  <pic:spPr>
                    <a:xfrm>
                      <a:off x="0" y="0"/>
                      <a:ext cx="5274310" cy="1574800"/>
                    </a:xfrm>
                    <a:prstGeom prst="rect">
                      <a:avLst/>
                    </a:prstGeom>
                  </pic:spPr>
                </pic:pic>
              </a:graphicData>
            </a:graphic>
          </wp:inline>
        </w:drawing>
      </w:r>
    </w:p>
    <w:p w14:paraId="26A1C894">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注：0-7分为轻度；8-19分为中度；20-35分为重度</w:t>
      </w:r>
    </w:p>
    <w:p w14:paraId="720BC29B">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该患者</w:t>
      </w:r>
      <w:bookmarkStart w:id="3" w:name="OLE_LINK2"/>
      <w:r>
        <w:rPr>
          <w:rFonts w:hint="eastAsia" w:asciiTheme="minorEastAsia" w:hAnsiTheme="minorEastAsia" w:cstheme="minorEastAsia"/>
          <w:sz w:val="24"/>
        </w:rPr>
        <w:t>I-PSS</w:t>
      </w:r>
      <w:bookmarkEnd w:id="3"/>
      <w:r>
        <w:rPr>
          <w:rFonts w:hint="eastAsia" w:asciiTheme="minorEastAsia" w:hAnsiTheme="minorEastAsia" w:cstheme="minorEastAsia"/>
          <w:sz w:val="24"/>
        </w:rPr>
        <w:t>为18分。</w:t>
      </w:r>
    </w:p>
    <w:bookmarkEnd w:id="2"/>
    <w:p w14:paraId="7C2FDB50">
      <w:pPr>
        <w:spacing w:line="360" w:lineRule="auto"/>
        <w:rPr>
          <w:rFonts w:asciiTheme="minorEastAsia" w:hAnsiTheme="minorEastAsia" w:cstheme="minorEastAsia"/>
          <w:sz w:val="24"/>
        </w:rPr>
      </w:pPr>
      <w:r>
        <w:rPr>
          <w:rFonts w:asciiTheme="minorEastAsia" w:hAnsiTheme="minorEastAsia" w:cstheme="minorEastAsia"/>
          <w:sz w:val="24"/>
        </w:rPr>
        <w:t xml:space="preserve">1.3 A（Assesment  对健康问题的评估） </w:t>
      </w:r>
    </w:p>
    <w:p w14:paraId="2BC5C92D">
      <w:pPr>
        <w:spacing w:line="360" w:lineRule="auto"/>
        <w:rPr>
          <w:rFonts w:ascii="宋体" w:hAnsi="宋体" w:cs="宋体"/>
          <w:sz w:val="24"/>
        </w:rPr>
      </w:pPr>
      <w:r>
        <w:rPr>
          <w:rFonts w:hint="eastAsia" w:ascii="宋体" w:hAnsi="宋体" w:cs="宋体"/>
          <w:sz w:val="24"/>
        </w:rPr>
        <w:t>1.3.1初步诊断</w:t>
      </w:r>
    </w:p>
    <w:p w14:paraId="4C364C7F">
      <w:pPr>
        <w:spacing w:line="360" w:lineRule="auto"/>
        <w:ind w:firstLine="480" w:firstLineChars="200"/>
        <w:rPr>
          <w:rFonts w:ascii="宋体" w:hAnsi="宋体" w:cs="宋体"/>
          <w:sz w:val="24"/>
        </w:rPr>
      </w:pPr>
      <w:r>
        <w:rPr>
          <w:rFonts w:hint="eastAsia" w:ascii="宋体" w:hAnsi="宋体" w:cs="宋体"/>
          <w:sz w:val="24"/>
        </w:rPr>
        <w:t>良性前列腺增生</w:t>
      </w:r>
    </w:p>
    <w:p w14:paraId="645A7A1E">
      <w:pPr>
        <w:spacing w:line="360" w:lineRule="auto"/>
        <w:ind w:firstLine="480" w:firstLineChars="200"/>
        <w:rPr>
          <w:rFonts w:ascii="宋体" w:hAnsi="宋体" w:cs="宋体"/>
          <w:sz w:val="24"/>
        </w:rPr>
      </w:pPr>
      <w:r>
        <w:rPr>
          <w:rFonts w:hint="eastAsia" w:ascii="宋体" w:hAnsi="宋体" w:cs="宋体"/>
          <w:sz w:val="24"/>
        </w:rPr>
        <w:t>诊断要点：</w:t>
      </w:r>
    </w:p>
    <w:p w14:paraId="24F20704">
      <w:pPr>
        <w:spacing w:line="360" w:lineRule="auto"/>
        <w:ind w:firstLine="480" w:firstLineChars="200"/>
        <w:rPr>
          <w:rFonts w:ascii="宋体" w:hAnsi="宋体" w:cs="宋体"/>
          <w:sz w:val="24"/>
        </w:rPr>
      </w:pPr>
      <w:r>
        <w:rPr>
          <w:rFonts w:hint="eastAsia" w:ascii="宋体" w:hAnsi="宋体" w:cs="宋体"/>
          <w:sz w:val="24"/>
        </w:rPr>
        <w:t>①50岁以上男性。</w:t>
      </w:r>
    </w:p>
    <w:p w14:paraId="0A5BC810">
      <w:pPr>
        <w:spacing w:line="360" w:lineRule="auto"/>
        <w:ind w:firstLine="480" w:firstLineChars="200"/>
        <w:rPr>
          <w:rFonts w:ascii="宋体" w:hAnsi="宋体" w:cs="宋体"/>
          <w:sz w:val="24"/>
        </w:rPr>
      </w:pPr>
      <w:r>
        <w:rPr>
          <w:rFonts w:hint="eastAsia" w:ascii="宋体" w:hAnsi="宋体" w:cs="宋体"/>
          <w:sz w:val="24"/>
        </w:rPr>
        <w:t>②初期尿频、尿急、排尿不尽，为良性前列腺增生刺激期表现；之后排尿费力、尿线变细为良性前列腺增生代偿期表现。</w:t>
      </w:r>
    </w:p>
    <w:p w14:paraId="20A6FBF8">
      <w:pPr>
        <w:spacing w:line="360" w:lineRule="auto"/>
        <w:ind w:firstLine="480" w:firstLineChars="200"/>
        <w:rPr>
          <w:rFonts w:ascii="宋体" w:hAnsi="宋体" w:cs="宋体"/>
          <w:sz w:val="24"/>
        </w:rPr>
      </w:pPr>
      <w:r>
        <w:rPr>
          <w:rFonts w:hint="eastAsia" w:ascii="宋体" w:hAnsi="宋体" w:cs="宋体"/>
          <w:sz w:val="24"/>
        </w:rPr>
        <w:t>③泌尿系超声提示：前列腺肥大。</w:t>
      </w:r>
    </w:p>
    <w:p w14:paraId="01689639">
      <w:pPr>
        <w:spacing w:line="360" w:lineRule="auto"/>
        <w:ind w:firstLine="480" w:firstLineChars="200"/>
        <w:rPr>
          <w:rFonts w:ascii="宋体" w:hAnsi="宋体" w:cs="宋体"/>
          <w:sz w:val="24"/>
        </w:rPr>
      </w:pPr>
      <w:r>
        <w:rPr>
          <w:rFonts w:hint="eastAsia" w:ascii="宋体" w:hAnsi="宋体" w:cs="宋体"/>
          <w:sz w:val="24"/>
        </w:rPr>
        <w:t>④国际</w:t>
      </w:r>
      <w:bookmarkStart w:id="4" w:name="OLE_LINK4"/>
      <w:r>
        <w:rPr>
          <w:rFonts w:hint="eastAsia" w:ascii="宋体" w:hAnsi="宋体" w:cs="宋体"/>
          <w:sz w:val="24"/>
        </w:rPr>
        <w:t>前列腺症状评分表（I-PSS）</w:t>
      </w:r>
      <w:bookmarkEnd w:id="4"/>
      <w:r>
        <w:rPr>
          <w:rFonts w:hint="eastAsia" w:ascii="宋体" w:hAnsi="宋体" w:cs="宋体"/>
          <w:sz w:val="24"/>
        </w:rPr>
        <w:t>为18分。</w:t>
      </w:r>
    </w:p>
    <w:p w14:paraId="4E1A4929">
      <w:pPr>
        <w:spacing w:line="360" w:lineRule="auto"/>
        <w:rPr>
          <w:rFonts w:ascii="宋体" w:hAnsi="宋体" w:cs="宋体"/>
          <w:sz w:val="24"/>
        </w:rPr>
      </w:pPr>
      <w:r>
        <w:rPr>
          <w:rFonts w:hint="eastAsia" w:ascii="宋体" w:hAnsi="宋体" w:cs="宋体"/>
          <w:sz w:val="24"/>
        </w:rPr>
        <w:t>1.3.2鉴别诊断</w:t>
      </w:r>
    </w:p>
    <w:p w14:paraId="758E593D">
      <w:pPr>
        <w:spacing w:line="360" w:lineRule="auto"/>
        <w:ind w:firstLine="480" w:firstLineChars="200"/>
        <w:rPr>
          <w:rFonts w:ascii="宋体" w:hAnsi="宋体" w:cs="宋体"/>
          <w:sz w:val="24"/>
        </w:rPr>
      </w:pPr>
      <w:r>
        <w:rPr>
          <w:rFonts w:hint="eastAsia" w:ascii="宋体" w:hAnsi="宋体" w:cs="宋体"/>
          <w:sz w:val="24"/>
        </w:rPr>
        <w:t>①前列腺癌：中老年多发，早期无先兆症状，进展期有排尿障碍，表现为进展性排尿困难、尿频、尿急、尿痛、排尿不尽等，晚期可出现体重减轻、乏力、全身疼痛等不适。前列腺特异性抗原、经直肠超声、CT及磁共振等影像学检查可协助诊断。</w:t>
      </w:r>
    </w:p>
    <w:p w14:paraId="4D8925B5">
      <w:pPr>
        <w:spacing w:line="360" w:lineRule="auto"/>
        <w:ind w:firstLine="480" w:firstLineChars="200"/>
        <w:rPr>
          <w:rFonts w:ascii="宋体" w:hAnsi="宋体" w:cs="宋体"/>
          <w:sz w:val="24"/>
        </w:rPr>
      </w:pPr>
      <w:r>
        <w:rPr>
          <w:rFonts w:hint="eastAsia" w:ascii="宋体" w:hAnsi="宋体" w:cs="宋体"/>
          <w:sz w:val="24"/>
        </w:rPr>
        <w:t>②神经源性膀胱功能障碍：多见于老年人，部分脑神经系统疾病、糖尿病患者可出现排尿困难、尿潴留、尿失禁等表现，神经系统检查常有会阴部感觉异常或肛门括约肌松弛；尿动力学、膀胱镜检查可协助鉴别。</w:t>
      </w:r>
    </w:p>
    <w:p w14:paraId="38459770">
      <w:pPr>
        <w:spacing w:line="360" w:lineRule="auto"/>
        <w:rPr>
          <w:rFonts w:ascii="宋体" w:hAnsi="宋体" w:cs="宋体"/>
          <w:sz w:val="24"/>
        </w:rPr>
      </w:pPr>
      <w:r>
        <w:rPr>
          <w:rFonts w:hint="eastAsia" w:ascii="宋体" w:hAnsi="宋体" w:cs="宋体"/>
          <w:sz w:val="24"/>
        </w:rPr>
        <w:t xml:space="preserve">1.3.3问题的轻重程度及预后判断    </w:t>
      </w:r>
    </w:p>
    <w:p w14:paraId="25A23929">
      <w:pPr>
        <w:spacing w:line="360" w:lineRule="auto"/>
        <w:ind w:firstLine="480" w:firstLineChars="200"/>
        <w:rPr>
          <w:rFonts w:ascii="宋体" w:hAnsi="宋体" w:cs="宋体"/>
          <w:sz w:val="24"/>
        </w:rPr>
      </w:pPr>
      <w:r>
        <w:rPr>
          <w:rFonts w:hint="eastAsia" w:ascii="宋体" w:hAnsi="宋体" w:cs="宋体"/>
          <w:sz w:val="24"/>
        </w:rPr>
        <w:t>根据国际前列腺症状评分表（I-PSS）判断该患者前列腺症状为中度。</w:t>
      </w:r>
    </w:p>
    <w:p w14:paraId="7FCC8A07">
      <w:pPr>
        <w:spacing w:line="360" w:lineRule="auto"/>
        <w:rPr>
          <w:rFonts w:ascii="宋体" w:hAnsi="宋体" w:cs="宋体"/>
          <w:sz w:val="24"/>
        </w:rPr>
      </w:pPr>
      <w:r>
        <w:rPr>
          <w:rFonts w:hint="eastAsia" w:ascii="宋体" w:hAnsi="宋体" w:cs="宋体"/>
          <w:sz w:val="24"/>
        </w:rPr>
        <w:t>1.3.4诊疗管理流程</w:t>
      </w:r>
    </w:p>
    <w:p w14:paraId="64F537B1">
      <w:pPr>
        <w:spacing w:line="360" w:lineRule="auto"/>
        <w:ind w:firstLine="480" w:firstLineChars="200"/>
        <w:rPr>
          <w:rFonts w:ascii="宋体" w:hAnsi="宋体" w:cs="宋体"/>
          <w:sz w:val="24"/>
        </w:rPr>
      </w:pPr>
      <w:r>
        <w:rPr>
          <w:rFonts w:hint="eastAsia" w:ascii="宋体" w:hAnsi="宋体" w:cs="宋体"/>
          <w:sz w:val="24"/>
        </w:rPr>
        <w:drawing>
          <wp:inline distT="0" distB="0" distL="114300" distR="114300">
            <wp:extent cx="2633980" cy="2787650"/>
            <wp:effectExtent l="0" t="0" r="2540" b="1270"/>
            <wp:docPr id="3" name="图片 3" descr="fd76bb0ce434fa850162388af3a7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d76bb0ce434fa850162388af3a7282"/>
                    <pic:cNvPicPr>
                      <a:picLocks noChangeAspect="1"/>
                    </pic:cNvPicPr>
                  </pic:nvPicPr>
                  <pic:blipFill>
                    <a:blip r:embed="rId16"/>
                    <a:stretch>
                      <a:fillRect/>
                    </a:stretch>
                  </pic:blipFill>
                  <pic:spPr>
                    <a:xfrm>
                      <a:off x="0" y="0"/>
                      <a:ext cx="2633980" cy="2787650"/>
                    </a:xfrm>
                    <a:prstGeom prst="rect">
                      <a:avLst/>
                    </a:prstGeom>
                  </pic:spPr>
                </pic:pic>
              </a:graphicData>
            </a:graphic>
          </wp:inline>
        </w:drawing>
      </w:r>
      <w:r>
        <w:rPr>
          <w:rFonts w:hint="eastAsia" w:ascii="宋体" w:hAnsi="宋体" w:cs="宋体"/>
          <w:sz w:val="24"/>
        </w:rPr>
        <w:t xml:space="preserve">  </w:t>
      </w:r>
    </w:p>
    <w:p w14:paraId="45F4CB0D">
      <w:pPr>
        <w:spacing w:line="360" w:lineRule="auto"/>
        <w:rPr>
          <w:rFonts w:ascii="宋体" w:hAnsi="宋体" w:cs="宋体"/>
          <w:sz w:val="24"/>
        </w:rPr>
      </w:pPr>
      <w:r>
        <w:rPr>
          <w:rFonts w:hint="eastAsia" w:ascii="宋体" w:hAnsi="宋体" w:cs="宋体"/>
          <w:sz w:val="24"/>
        </w:rPr>
        <w:t>1.4 P（Plan 对问题的处理计划）</w:t>
      </w:r>
    </w:p>
    <w:p w14:paraId="0DB5C82E">
      <w:pPr>
        <w:spacing w:line="360" w:lineRule="auto"/>
        <w:rPr>
          <w:rFonts w:ascii="宋体" w:hAnsi="宋体" w:cs="宋体"/>
          <w:sz w:val="24"/>
        </w:rPr>
      </w:pPr>
      <w:r>
        <w:rPr>
          <w:rFonts w:hint="eastAsia" w:ascii="宋体" w:hAnsi="宋体" w:cs="宋体"/>
          <w:sz w:val="24"/>
        </w:rPr>
        <w:t>1.4.1检查计划：完善尿流动力学</w:t>
      </w:r>
    </w:p>
    <w:p w14:paraId="5911367D">
      <w:pPr>
        <w:spacing w:line="360" w:lineRule="auto"/>
        <w:rPr>
          <w:rFonts w:ascii="宋体" w:hAnsi="宋体" w:cs="宋体"/>
          <w:sz w:val="24"/>
        </w:rPr>
      </w:pPr>
      <w:r>
        <w:rPr>
          <w:rFonts w:hint="eastAsia" w:ascii="宋体" w:hAnsi="宋体" w:cs="宋体"/>
          <w:sz w:val="24"/>
        </w:rPr>
        <w:t>1.4.2治疗计划：</w:t>
      </w:r>
    </w:p>
    <w:p w14:paraId="487C0068">
      <w:pPr>
        <w:spacing w:line="360" w:lineRule="auto"/>
        <w:ind w:firstLine="480" w:firstLineChars="200"/>
        <w:rPr>
          <w:rFonts w:ascii="宋体" w:hAnsi="宋体" w:cs="宋体"/>
          <w:sz w:val="24"/>
        </w:rPr>
      </w:pPr>
      <w:r>
        <w:rPr>
          <w:rFonts w:hint="eastAsia" w:ascii="宋体" w:hAnsi="宋体" w:cs="宋体"/>
          <w:sz w:val="24"/>
        </w:rPr>
        <w:t>药物治疗：</w:t>
      </w:r>
    </w:p>
    <w:p w14:paraId="12F63827">
      <w:pPr>
        <w:spacing w:line="360" w:lineRule="auto"/>
        <w:ind w:firstLine="480" w:firstLineChars="200"/>
        <w:rPr>
          <w:rFonts w:ascii="宋体" w:hAnsi="宋体" w:cs="宋体"/>
          <w:sz w:val="24"/>
        </w:rPr>
      </w:pPr>
      <w:r>
        <w:rPr>
          <w:rFonts w:hint="eastAsia" w:ascii="宋体" w:hAnsi="宋体" w:cs="宋体"/>
          <w:sz w:val="24"/>
        </w:rPr>
        <w:t>5α-还原酶抑制剂：非那雄胺口服，5mg/次，1次/日。早晚、饭前、饭后均可服用。</w:t>
      </w:r>
    </w:p>
    <w:p w14:paraId="691DE893">
      <w:pPr>
        <w:spacing w:line="360" w:lineRule="auto"/>
        <w:ind w:firstLine="480" w:firstLineChars="200"/>
        <w:rPr>
          <w:rFonts w:ascii="宋体" w:hAnsi="宋体" w:cs="宋体"/>
          <w:sz w:val="24"/>
        </w:rPr>
      </w:pPr>
      <w:r>
        <w:rPr>
          <w:rFonts w:hint="eastAsia" w:ascii="宋体" w:hAnsi="宋体" w:cs="宋体"/>
          <w:sz w:val="24"/>
        </w:rPr>
        <w:t>非药物治疗：</w:t>
      </w:r>
    </w:p>
    <w:p w14:paraId="7BFBFB24">
      <w:pPr>
        <w:spacing w:line="360" w:lineRule="auto"/>
        <w:ind w:firstLine="480" w:firstLineChars="200"/>
        <w:rPr>
          <w:rFonts w:ascii="宋体" w:hAnsi="宋体" w:cs="宋体"/>
          <w:sz w:val="24"/>
        </w:rPr>
      </w:pPr>
      <w:r>
        <w:rPr>
          <w:rFonts w:hint="eastAsia" w:ascii="微软雅黑" w:hAnsi="微软雅黑" w:cs="微软雅黑"/>
          <w:sz w:val="24"/>
        </w:rPr>
        <w:t>①</w:t>
      </w:r>
      <w:r>
        <w:rPr>
          <w:rFonts w:hint="eastAsia" w:ascii="宋体" w:hAnsi="宋体" w:cs="宋体"/>
          <w:sz w:val="24"/>
        </w:rPr>
        <w:t xml:space="preserve">少饮酒、少食辛辣刺激食物,以避免前列腺充血水肿导致急性尿潴留。 </w:t>
      </w:r>
    </w:p>
    <w:p w14:paraId="667B9570">
      <w:pPr>
        <w:spacing w:line="360" w:lineRule="auto"/>
        <w:ind w:firstLine="480" w:firstLineChars="200"/>
        <w:rPr>
          <w:rFonts w:ascii="宋体" w:hAnsi="宋体" w:cs="宋体"/>
          <w:sz w:val="24"/>
        </w:rPr>
      </w:pPr>
      <w:r>
        <w:rPr>
          <w:rFonts w:hint="eastAsia" w:ascii="微软雅黑" w:hAnsi="微软雅黑" w:cs="微软雅黑"/>
          <w:sz w:val="24"/>
        </w:rPr>
        <w:t>②</w:t>
      </w:r>
      <w:r>
        <w:rPr>
          <w:rFonts w:hint="eastAsia" w:ascii="宋体" w:hAnsi="宋体" w:cs="宋体"/>
          <w:sz w:val="24"/>
        </w:rPr>
        <w:t>避免应用影响膀胱功能的药物,如阿托品、山莨菪碱等药物,以预防急性尿潴留发生。</w:t>
      </w:r>
    </w:p>
    <w:p w14:paraId="27DF06E8">
      <w:pPr>
        <w:spacing w:line="360" w:lineRule="auto"/>
        <w:ind w:firstLine="480" w:firstLineChars="200"/>
        <w:rPr>
          <w:rFonts w:ascii="宋体" w:hAnsi="宋体" w:cs="宋体"/>
          <w:sz w:val="24"/>
        </w:rPr>
      </w:pPr>
      <w:r>
        <w:rPr>
          <w:rFonts w:hint="eastAsia" w:ascii="微软雅黑" w:hAnsi="微软雅黑" w:cs="微软雅黑"/>
          <w:sz w:val="24"/>
        </w:rPr>
        <w:t>③</w:t>
      </w:r>
      <w:r>
        <w:rPr>
          <w:rFonts w:hint="eastAsia" w:ascii="宋体" w:hAnsi="宋体" w:cs="宋体"/>
          <w:sz w:val="24"/>
        </w:rPr>
        <w:t>饮食方面应多吃清淡易消化的食物,多吃蔬菜、防止便秘,因大便干燥积存可加重排尿困难。</w:t>
      </w:r>
    </w:p>
    <w:p w14:paraId="3313BDF2">
      <w:pPr>
        <w:spacing w:line="360" w:lineRule="auto"/>
        <w:ind w:firstLine="480" w:firstLineChars="200"/>
        <w:rPr>
          <w:rFonts w:ascii="宋体" w:hAnsi="宋体" w:cs="宋体"/>
          <w:sz w:val="24"/>
        </w:rPr>
      </w:pPr>
      <w:r>
        <w:rPr>
          <w:rFonts w:hint="eastAsia" w:ascii="微软雅黑" w:hAnsi="微软雅黑" w:cs="微软雅黑"/>
          <w:sz w:val="24"/>
        </w:rPr>
        <w:t>④</w:t>
      </w:r>
      <w:r>
        <w:rPr>
          <w:rFonts w:hint="eastAsia" w:ascii="宋体" w:hAnsi="宋体" w:cs="宋体"/>
          <w:sz w:val="24"/>
        </w:rPr>
        <w:t>不要长时间憋尿,尽可能少骑自行车等。</w:t>
      </w:r>
    </w:p>
    <w:p w14:paraId="3A243A0F">
      <w:pPr>
        <w:spacing w:line="360" w:lineRule="auto"/>
        <w:rPr>
          <w:rFonts w:ascii="宋体" w:hAnsi="宋体" w:cs="宋体"/>
          <w:sz w:val="24"/>
        </w:rPr>
      </w:pPr>
      <w:r>
        <w:rPr>
          <w:rFonts w:hint="eastAsia" w:ascii="宋体" w:hAnsi="宋体" w:cs="宋体"/>
          <w:sz w:val="24"/>
        </w:rPr>
        <w:t>1.4.3转诊标准</w:t>
      </w:r>
    </w:p>
    <w:p w14:paraId="6BDAFA06">
      <w:pPr>
        <w:spacing w:line="360" w:lineRule="auto"/>
        <w:ind w:firstLine="480" w:firstLineChars="200"/>
        <w:rPr>
          <w:rFonts w:ascii="宋体" w:hAnsi="宋体" w:cs="宋体"/>
          <w:sz w:val="24"/>
        </w:rPr>
      </w:pPr>
      <w:r>
        <w:rPr>
          <w:rFonts w:hint="eastAsia" w:ascii="宋体" w:hAnsi="宋体" w:cs="宋体"/>
          <w:sz w:val="24"/>
        </w:rPr>
        <w:t>①治疗效果欠佳，症状改善不明显或加重者。</w:t>
      </w:r>
    </w:p>
    <w:p w14:paraId="456A5956">
      <w:pPr>
        <w:spacing w:line="360" w:lineRule="auto"/>
        <w:ind w:firstLine="480" w:firstLineChars="200"/>
        <w:rPr>
          <w:rFonts w:ascii="宋体" w:hAnsi="宋体" w:cs="宋体"/>
          <w:sz w:val="24"/>
        </w:rPr>
      </w:pPr>
      <w:r>
        <w:rPr>
          <w:rFonts w:hint="eastAsia" w:ascii="宋体" w:hAnsi="宋体" w:cs="宋体"/>
          <w:sz w:val="24"/>
        </w:rPr>
        <w:t>②因设备原因无法进行相关检查者。</w:t>
      </w:r>
    </w:p>
    <w:p w14:paraId="2838B234">
      <w:pPr>
        <w:spacing w:line="360" w:lineRule="auto"/>
        <w:ind w:firstLine="480" w:firstLineChars="200"/>
        <w:rPr>
          <w:rFonts w:ascii="宋体" w:hAnsi="宋体" w:cs="宋体"/>
          <w:sz w:val="24"/>
        </w:rPr>
      </w:pPr>
      <w:r>
        <w:rPr>
          <w:rFonts w:hint="eastAsia" w:ascii="宋体" w:hAnsi="宋体" w:cs="宋体"/>
          <w:sz w:val="24"/>
        </w:rPr>
        <w:t>③因药物级别限制无法在社区获得有效治疗者。</w:t>
      </w:r>
    </w:p>
    <w:p w14:paraId="6F530576">
      <w:pPr>
        <w:spacing w:line="360" w:lineRule="auto"/>
        <w:ind w:firstLine="480" w:firstLineChars="200"/>
        <w:rPr>
          <w:rFonts w:ascii="宋体" w:hAnsi="宋体" w:cs="宋体"/>
          <w:sz w:val="24"/>
        </w:rPr>
      </w:pPr>
      <w:r>
        <w:rPr>
          <w:rFonts w:hint="eastAsia" w:ascii="宋体" w:hAnsi="宋体" w:cs="宋体"/>
          <w:sz w:val="24"/>
        </w:rPr>
        <w:t>④导致反复尿潴留、血尿、泌尿系感染、膀胱结石及继发性双肾积水等并发症。</w:t>
      </w:r>
    </w:p>
    <w:p w14:paraId="0028CF86">
      <w:pPr>
        <w:spacing w:line="360" w:lineRule="auto"/>
        <w:ind w:firstLine="480" w:firstLineChars="200"/>
        <w:rPr>
          <w:rFonts w:ascii="宋体" w:hAnsi="宋体" w:cs="宋体"/>
          <w:sz w:val="24"/>
        </w:rPr>
      </w:pPr>
      <w:r>
        <w:rPr>
          <w:rFonts w:hint="eastAsia" w:ascii="宋体" w:hAnsi="宋体" w:cs="宋体"/>
          <w:sz w:val="24"/>
        </w:rPr>
        <w:t>⑤合并膀胱大憩室、腹股沟疝、严重的痔疮或脱肛，临床判断不解除下尿路梗阻难以达到治疗效果者。</w:t>
      </w:r>
    </w:p>
    <w:p w14:paraId="28574F4D">
      <w:pPr>
        <w:spacing w:line="360" w:lineRule="auto"/>
        <w:ind w:firstLine="480" w:firstLineChars="200"/>
        <w:rPr>
          <w:rFonts w:ascii="宋体" w:hAnsi="宋体" w:cs="宋体"/>
          <w:sz w:val="24"/>
        </w:rPr>
      </w:pPr>
      <w:r>
        <w:rPr>
          <w:rFonts w:hint="eastAsia" w:ascii="宋体" w:hAnsi="宋体" w:cs="宋体"/>
          <w:sz w:val="24"/>
        </w:rPr>
        <w:t>⑥需要外科手术治疗者。</w:t>
      </w:r>
    </w:p>
    <w:p w14:paraId="64F1A05B">
      <w:pPr>
        <w:numPr>
          <w:ilvl w:val="0"/>
          <w:numId w:val="3"/>
        </w:numPr>
        <w:spacing w:line="360" w:lineRule="auto"/>
        <w:rPr>
          <w:rFonts w:asciiTheme="minorEastAsia" w:hAnsiTheme="minorEastAsia" w:cstheme="minorEastAsia"/>
          <w:b/>
          <w:bCs/>
          <w:sz w:val="24"/>
        </w:rPr>
      </w:pPr>
      <w:r>
        <w:rPr>
          <w:rFonts w:asciiTheme="minorEastAsia" w:hAnsiTheme="minorEastAsia" w:cstheme="minorEastAsia"/>
          <w:b/>
          <w:bCs/>
          <w:sz w:val="24"/>
        </w:rPr>
        <w:t>病例的主要问题及分析</w:t>
      </w:r>
    </w:p>
    <w:p w14:paraId="2D13B4F4">
      <w:pPr>
        <w:spacing w:line="360" w:lineRule="auto"/>
        <w:rPr>
          <w:rFonts w:asciiTheme="minorEastAsia" w:hAnsiTheme="minorEastAsia" w:cstheme="minorEastAsia"/>
          <w:sz w:val="24"/>
        </w:rPr>
      </w:pPr>
      <w:r>
        <w:rPr>
          <w:rFonts w:hint="eastAsia" w:asciiTheme="minorEastAsia" w:hAnsiTheme="minorEastAsia" w:cstheme="minorEastAsia"/>
          <w:sz w:val="24"/>
        </w:rPr>
        <w:t>2.1</w:t>
      </w:r>
      <w:r>
        <w:rPr>
          <w:rFonts w:asciiTheme="minorEastAsia" w:hAnsiTheme="minorEastAsia" w:cstheme="minorEastAsia"/>
          <w:sz w:val="24"/>
        </w:rPr>
        <w:t>主要问题</w:t>
      </w:r>
      <w:r>
        <w:rPr>
          <w:rFonts w:hint="eastAsia" w:asciiTheme="minorEastAsia" w:hAnsiTheme="minorEastAsia" w:cstheme="minorEastAsia"/>
          <w:sz w:val="24"/>
        </w:rPr>
        <w:t>：中度的膀胱刺激症状</w:t>
      </w:r>
    </w:p>
    <w:p w14:paraId="050EE71A">
      <w:pPr>
        <w:spacing w:line="360" w:lineRule="auto"/>
        <w:rPr>
          <w:rFonts w:asciiTheme="minorEastAsia" w:hAnsiTheme="minorEastAsia" w:cstheme="minorEastAsia"/>
          <w:sz w:val="24"/>
        </w:rPr>
      </w:pPr>
      <w:r>
        <w:rPr>
          <w:rFonts w:hint="eastAsia" w:asciiTheme="minorEastAsia" w:hAnsiTheme="minorEastAsia" w:cstheme="minorEastAsia"/>
          <w:sz w:val="24"/>
        </w:rPr>
        <w:t>2.2</w:t>
      </w:r>
      <w:r>
        <w:rPr>
          <w:rFonts w:asciiTheme="minorEastAsia" w:hAnsiTheme="minorEastAsia" w:cstheme="minorEastAsia"/>
          <w:sz w:val="24"/>
        </w:rPr>
        <w:t>次要问题</w:t>
      </w:r>
      <w:r>
        <w:rPr>
          <w:rFonts w:hint="eastAsia" w:asciiTheme="minorEastAsia" w:hAnsiTheme="minorEastAsia" w:cstheme="minorEastAsia"/>
          <w:sz w:val="24"/>
        </w:rPr>
        <w:t>：久坐的生活习惯</w:t>
      </w:r>
    </w:p>
    <w:p w14:paraId="2D622986">
      <w:pPr>
        <w:spacing w:line="360" w:lineRule="auto"/>
        <w:rPr>
          <w:rFonts w:asciiTheme="minorEastAsia" w:hAnsiTheme="minorEastAsia" w:cstheme="minorEastAsia"/>
          <w:sz w:val="24"/>
        </w:rPr>
      </w:pPr>
      <w:r>
        <w:rPr>
          <w:rFonts w:hint="eastAsia" w:asciiTheme="minorEastAsia" w:hAnsiTheme="minorEastAsia" w:cstheme="minorEastAsia"/>
          <w:sz w:val="24"/>
        </w:rPr>
        <w:t>2.3</w:t>
      </w:r>
      <w:r>
        <w:rPr>
          <w:rFonts w:asciiTheme="minorEastAsia" w:hAnsiTheme="minorEastAsia" w:cstheme="minorEastAsia"/>
          <w:sz w:val="24"/>
        </w:rPr>
        <w:t>存在的问题分析及依据</w:t>
      </w:r>
      <w:r>
        <w:rPr>
          <w:rFonts w:hint="eastAsia" w:asciiTheme="minorEastAsia" w:hAnsiTheme="minorEastAsia" w:cstheme="minorEastAsia"/>
          <w:sz w:val="24"/>
        </w:rPr>
        <w:t>：</w:t>
      </w:r>
    </w:p>
    <w:p w14:paraId="5EF8EA89">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患者的膀胱刺激症状初起为刺激期，因未引起重视、未就诊及治疗，目前发展到代偿期。久坐易造成前列腺充血、水肿加重，诱发排尿困难。依据是患者症状、国际</w:t>
      </w:r>
      <w:r>
        <w:rPr>
          <w:rFonts w:hint="eastAsia" w:ascii="宋体" w:hAnsi="宋体" w:cs="宋体"/>
          <w:sz w:val="24"/>
        </w:rPr>
        <w:t>前列腺症状评分表（I-PSS）。</w:t>
      </w:r>
    </w:p>
    <w:p w14:paraId="3670A160">
      <w:pPr>
        <w:spacing w:line="360" w:lineRule="auto"/>
        <w:rPr>
          <w:rFonts w:asciiTheme="minorEastAsia" w:hAnsiTheme="minorEastAsia" w:cstheme="minorEastAsia"/>
          <w:sz w:val="24"/>
        </w:rPr>
      </w:pPr>
      <w:r>
        <w:rPr>
          <w:rFonts w:asciiTheme="minorEastAsia" w:hAnsiTheme="minorEastAsia" w:cstheme="minorEastAsia"/>
          <w:b/>
          <w:bCs/>
          <w:sz w:val="24"/>
        </w:rPr>
        <w:t>3.随访记录</w:t>
      </w:r>
      <w:r>
        <w:rPr>
          <w:rFonts w:asciiTheme="minorEastAsia" w:hAnsiTheme="minorEastAsia" w:cstheme="minorEastAsia"/>
          <w:sz w:val="24"/>
        </w:rPr>
        <w:t xml:space="preserve"> </w:t>
      </w:r>
    </w:p>
    <w:p w14:paraId="4EBB51DD">
      <w:pPr>
        <w:spacing w:line="360" w:lineRule="auto"/>
        <w:rPr>
          <w:rFonts w:asciiTheme="minorEastAsia" w:hAnsiTheme="minorEastAsia" w:cstheme="minorEastAsia"/>
          <w:sz w:val="24"/>
        </w:rPr>
      </w:pPr>
      <w:r>
        <w:rPr>
          <w:rFonts w:hint="eastAsia" w:asciiTheme="minorEastAsia" w:hAnsiTheme="minorEastAsia" w:cstheme="minorEastAsia"/>
          <w:sz w:val="24"/>
        </w:rPr>
        <w:t>3.1</w:t>
      </w:r>
      <w:r>
        <w:rPr>
          <w:rFonts w:asciiTheme="minorEastAsia" w:hAnsiTheme="minorEastAsia" w:cstheme="minorEastAsia"/>
          <w:sz w:val="24"/>
        </w:rPr>
        <w:t>随访时间</w:t>
      </w:r>
    </w:p>
    <w:p w14:paraId="7B579C62">
      <w:pPr>
        <w:spacing w:line="360" w:lineRule="auto"/>
        <w:ind w:firstLine="480" w:firstLineChars="200"/>
        <w:rPr>
          <w:rFonts w:hint="eastAsia" w:asciiTheme="minorEastAsia" w:hAnsiTheme="minorEastAsia" w:cstheme="minorEastAsia"/>
          <w:sz w:val="24"/>
        </w:rPr>
      </w:pPr>
      <w:r>
        <w:rPr>
          <w:rFonts w:hint="eastAsia" w:asciiTheme="minorEastAsia" w:hAnsiTheme="minorEastAsia" w:cstheme="minorEastAsia"/>
          <w:sz w:val="24"/>
        </w:rPr>
        <w:t>良性前列腺增生症长期随访表</w:t>
      </w:r>
    </w:p>
    <w:p w14:paraId="77F1A18B">
      <w:pPr>
        <w:spacing w:line="360" w:lineRule="auto"/>
        <w:ind w:left="0" w:leftChars="0" w:firstLine="0" w:firstLineChars="0"/>
        <w:rPr>
          <w:rFonts w:asciiTheme="minorEastAsia" w:hAnsiTheme="minorEastAsia" w:cstheme="minorEastAsia"/>
          <w:sz w:val="24"/>
        </w:rPr>
      </w:pPr>
      <w:r>
        <w:rPr>
          <w:rFonts w:asciiTheme="minorEastAsia" w:hAnsiTheme="minorEastAsia" w:cstheme="minorEastAsia"/>
          <w:sz w:val="24"/>
        </w:rPr>
        <w:drawing>
          <wp:inline distT="0" distB="0" distL="114300" distR="114300">
            <wp:extent cx="5274310" cy="1838960"/>
            <wp:effectExtent l="0" t="0" r="13970" b="5080"/>
            <wp:docPr id="5" name="图片 5" descr="17184437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718443770(1)"/>
                    <pic:cNvPicPr>
                      <a:picLocks noChangeAspect="1"/>
                    </pic:cNvPicPr>
                  </pic:nvPicPr>
                  <pic:blipFill>
                    <a:blip r:embed="rId17"/>
                    <a:stretch>
                      <a:fillRect/>
                    </a:stretch>
                  </pic:blipFill>
                  <pic:spPr>
                    <a:xfrm>
                      <a:off x="0" y="0"/>
                      <a:ext cx="5274310" cy="1838960"/>
                    </a:xfrm>
                    <a:prstGeom prst="rect">
                      <a:avLst/>
                    </a:prstGeom>
                  </pic:spPr>
                </pic:pic>
              </a:graphicData>
            </a:graphic>
          </wp:inline>
        </w:drawing>
      </w:r>
    </w:p>
    <w:p w14:paraId="18B4CA9A">
      <w:pPr>
        <w:spacing w:line="360" w:lineRule="auto"/>
        <w:rPr>
          <w:rFonts w:asciiTheme="minorEastAsia" w:hAnsiTheme="minorEastAsia" w:cstheme="minorEastAsia"/>
          <w:sz w:val="24"/>
        </w:rPr>
      </w:pPr>
      <w:r>
        <w:rPr>
          <w:rFonts w:hint="eastAsia" w:asciiTheme="minorEastAsia" w:hAnsiTheme="minorEastAsia" w:cstheme="minorEastAsia"/>
          <w:sz w:val="24"/>
        </w:rPr>
        <w:t>3.2</w:t>
      </w:r>
      <w:r>
        <w:rPr>
          <w:rFonts w:asciiTheme="minorEastAsia" w:hAnsiTheme="minorEastAsia" w:cstheme="minorEastAsia"/>
          <w:sz w:val="24"/>
        </w:rPr>
        <w:t>不良反应和意外事件</w:t>
      </w:r>
    </w:p>
    <w:p w14:paraId="7C3E1038">
      <w:pPr>
        <w:spacing w:line="360" w:lineRule="auto"/>
        <w:rPr>
          <w:rFonts w:asciiTheme="minorEastAsia" w:hAnsiTheme="minorEastAsia" w:cstheme="minorEastAsia"/>
          <w:sz w:val="24"/>
        </w:rPr>
      </w:pPr>
      <w:r>
        <w:rPr>
          <w:rFonts w:hint="eastAsia" w:asciiTheme="minorEastAsia" w:hAnsiTheme="minorEastAsia" w:cstheme="minorEastAsia"/>
          <w:sz w:val="24"/>
        </w:rPr>
        <w:t>3.2.1药物不良反应</w:t>
      </w:r>
    </w:p>
    <w:p w14:paraId="4FB714C9">
      <w:pPr>
        <w:spacing w:line="360" w:lineRule="auto"/>
        <w:rPr>
          <w:rFonts w:asciiTheme="minorEastAsia" w:hAnsiTheme="minorEastAsia" w:cstheme="minorEastAsia"/>
          <w:sz w:val="24"/>
        </w:rPr>
      </w:pPr>
      <w:r>
        <w:rPr>
          <w:rFonts w:hint="eastAsia" w:asciiTheme="minorEastAsia" w:hAnsiTheme="minorEastAsia" w:cstheme="minorEastAsia"/>
          <w:sz w:val="24"/>
        </w:rPr>
        <w:t>3.2.2意外事件：尿潴留、血尿、引起或加重痔脱肛及腹股沟疝等。</w:t>
      </w:r>
    </w:p>
    <w:p w14:paraId="4E0BBDBE">
      <w:pPr>
        <w:spacing w:line="360" w:lineRule="auto"/>
        <w:rPr>
          <w:rFonts w:asciiTheme="minorEastAsia" w:hAnsiTheme="minorEastAsia" w:cstheme="minorEastAsia"/>
          <w:sz w:val="24"/>
        </w:rPr>
      </w:pPr>
      <w:r>
        <w:rPr>
          <w:rFonts w:hint="eastAsia" w:asciiTheme="minorEastAsia" w:hAnsiTheme="minorEastAsia" w:cstheme="minorEastAsia"/>
          <w:sz w:val="24"/>
        </w:rPr>
        <w:t>3.3</w:t>
      </w:r>
      <w:r>
        <w:rPr>
          <w:rFonts w:asciiTheme="minorEastAsia" w:hAnsiTheme="minorEastAsia" w:cstheme="minorEastAsia"/>
          <w:sz w:val="24"/>
        </w:rPr>
        <w:t>患者转归</w:t>
      </w:r>
    </w:p>
    <w:p w14:paraId="090CC770">
      <w:pPr>
        <w:spacing w:line="360" w:lineRule="auto"/>
        <w:ind w:firstLine="560"/>
        <w:rPr>
          <w:rFonts w:asciiTheme="minorEastAsia" w:hAnsiTheme="minorEastAsia" w:cstheme="minorEastAsia"/>
          <w:sz w:val="24"/>
        </w:rPr>
      </w:pPr>
      <w:r>
        <w:rPr>
          <w:rFonts w:hint="eastAsia" w:asciiTheme="minorEastAsia" w:hAnsiTheme="minorEastAsia" w:cstheme="minorEastAsia"/>
          <w:sz w:val="24"/>
        </w:rPr>
        <w:t>不良转归：控制不良，可发展到失代偿期，表现为急性/慢性尿潴留、充溢性尿失禁。</w:t>
      </w:r>
    </w:p>
    <w:p w14:paraId="6510D5EF">
      <w:pPr>
        <w:spacing w:line="360" w:lineRule="auto"/>
        <w:rPr>
          <w:rFonts w:asciiTheme="minorEastAsia" w:hAnsiTheme="minorEastAsia" w:cstheme="minorEastAsia"/>
          <w:sz w:val="24"/>
        </w:rPr>
      </w:pPr>
      <w:r>
        <w:rPr>
          <w:rFonts w:hint="eastAsia" w:asciiTheme="minorEastAsia" w:hAnsiTheme="minorEastAsia" w:cstheme="minorEastAsia"/>
          <w:sz w:val="24"/>
        </w:rPr>
        <w:t>3.</w:t>
      </w:r>
      <w:r>
        <w:rPr>
          <w:rFonts w:asciiTheme="minorEastAsia" w:hAnsiTheme="minorEastAsia" w:cstheme="minorEastAsia"/>
          <w:sz w:val="24"/>
        </w:rPr>
        <w:t>4健康教育、</w:t>
      </w:r>
      <w:bookmarkStart w:id="5" w:name="OLE_LINK3"/>
      <w:r>
        <w:rPr>
          <w:rFonts w:asciiTheme="minorEastAsia" w:hAnsiTheme="minorEastAsia" w:cstheme="minorEastAsia"/>
          <w:sz w:val="24"/>
        </w:rPr>
        <w:t>下次就诊的问诊重点</w:t>
      </w:r>
      <w:bookmarkEnd w:id="5"/>
    </w:p>
    <w:p w14:paraId="426521AC">
      <w:pPr>
        <w:spacing w:line="360" w:lineRule="auto"/>
        <w:rPr>
          <w:rFonts w:asciiTheme="minorEastAsia" w:hAnsiTheme="minorEastAsia" w:cstheme="minorEastAsia"/>
          <w:sz w:val="24"/>
        </w:rPr>
      </w:pPr>
      <w:r>
        <w:rPr>
          <w:rFonts w:hint="eastAsia" w:asciiTheme="minorEastAsia" w:hAnsiTheme="minorEastAsia" w:cstheme="minorEastAsia"/>
          <w:sz w:val="24"/>
        </w:rPr>
        <w:t>3.</w:t>
      </w:r>
      <w:r>
        <w:rPr>
          <w:rFonts w:asciiTheme="minorEastAsia" w:hAnsiTheme="minorEastAsia" w:cstheme="minorEastAsia"/>
          <w:sz w:val="24"/>
        </w:rPr>
        <w:t>4</w:t>
      </w:r>
      <w:r>
        <w:rPr>
          <w:rFonts w:hint="eastAsia" w:asciiTheme="minorEastAsia" w:hAnsiTheme="minorEastAsia" w:cstheme="minorEastAsia"/>
          <w:sz w:val="24"/>
        </w:rPr>
        <w:t>.1健康教育</w:t>
      </w:r>
    </w:p>
    <w:p w14:paraId="70EA5EE3">
      <w:pPr>
        <w:spacing w:line="360" w:lineRule="auto"/>
        <w:ind w:firstLine="480" w:firstLineChars="200"/>
        <w:rPr>
          <w:rFonts w:asciiTheme="minorEastAsia" w:hAnsiTheme="minorEastAsia" w:cstheme="minorEastAsia"/>
          <w:sz w:val="24"/>
        </w:rPr>
      </w:pPr>
      <w:r>
        <w:rPr>
          <w:rFonts w:hint="eastAsia" w:ascii="微软雅黑" w:hAnsi="微软雅黑" w:cs="微软雅黑"/>
          <w:sz w:val="24"/>
        </w:rPr>
        <w:t>①</w:t>
      </w:r>
      <w:r>
        <w:rPr>
          <w:rFonts w:hint="eastAsia" w:asciiTheme="minorEastAsia" w:hAnsiTheme="minorEastAsia" w:cstheme="minorEastAsia"/>
          <w:sz w:val="24"/>
        </w:rPr>
        <w:t>良性前列腺增生症的危害，主动采取预防措施。</w:t>
      </w:r>
    </w:p>
    <w:p w14:paraId="03D079A3">
      <w:pPr>
        <w:spacing w:line="360" w:lineRule="auto"/>
        <w:ind w:firstLine="480" w:firstLineChars="200"/>
        <w:rPr>
          <w:rFonts w:ascii="宋体" w:hAnsi="宋体" w:cs="宋体"/>
          <w:sz w:val="24"/>
        </w:rPr>
      </w:pPr>
      <w:r>
        <w:rPr>
          <w:rFonts w:hint="eastAsia" w:ascii="微软雅黑" w:hAnsi="微软雅黑" w:cs="微软雅黑"/>
          <w:sz w:val="24"/>
        </w:rPr>
        <w:t>②</w:t>
      </w:r>
      <w:r>
        <w:rPr>
          <w:rFonts w:hint="eastAsia" w:ascii="宋体" w:hAnsi="宋体" w:cs="宋体"/>
          <w:sz w:val="24"/>
        </w:rPr>
        <w:t>良性前列腺增生症治疗方案。5</w:t>
      </w:r>
      <w:r>
        <w:rPr>
          <w:rFonts w:ascii="Arial" w:hAnsi="Arial" w:cs="Arial"/>
          <w:sz w:val="24"/>
        </w:rPr>
        <w:t>α</w:t>
      </w:r>
      <w:r>
        <w:rPr>
          <w:rFonts w:hint="eastAsia" w:ascii="宋体" w:hAnsi="宋体" w:cs="宋体"/>
          <w:sz w:val="24"/>
        </w:rPr>
        <w:t>-还原酶抑制剂。</w:t>
      </w:r>
      <w:r>
        <w:rPr>
          <w:rFonts w:asciiTheme="minorEastAsia" w:hAnsiTheme="minorEastAsia" w:cstheme="minorEastAsia"/>
          <w:sz w:val="24"/>
        </w:rPr>
        <w:t>强调规律服药</w:t>
      </w:r>
      <w:r>
        <w:rPr>
          <w:rFonts w:hint="eastAsia" w:asciiTheme="minorEastAsia" w:hAnsiTheme="minorEastAsia" w:cstheme="minorEastAsia"/>
          <w:sz w:val="24"/>
        </w:rPr>
        <w:t>。</w:t>
      </w:r>
    </w:p>
    <w:p w14:paraId="7622BE7C">
      <w:pPr>
        <w:spacing w:line="360" w:lineRule="auto"/>
        <w:ind w:firstLine="480" w:firstLineChars="200"/>
        <w:rPr>
          <w:rFonts w:asciiTheme="minorEastAsia" w:hAnsiTheme="minorEastAsia" w:cstheme="minorEastAsia"/>
          <w:sz w:val="24"/>
        </w:rPr>
      </w:pPr>
      <w:r>
        <w:rPr>
          <w:rFonts w:hint="eastAsia" w:ascii="微软雅黑" w:hAnsi="微软雅黑" w:cs="微软雅黑"/>
          <w:sz w:val="24"/>
        </w:rPr>
        <w:t>③</w:t>
      </w:r>
      <w:r>
        <w:rPr>
          <w:rFonts w:hint="eastAsia" w:asciiTheme="minorEastAsia" w:hAnsiTheme="minorEastAsia" w:cstheme="minorEastAsia"/>
          <w:sz w:val="24"/>
        </w:rPr>
        <w:t>生活方式：饮水量适当、避免饮用含咖啡因、酒精类饮料；纠正久坐的生活习惯。</w:t>
      </w:r>
    </w:p>
    <w:p w14:paraId="170463A0">
      <w:pPr>
        <w:spacing w:line="360" w:lineRule="auto"/>
        <w:rPr>
          <w:rFonts w:asciiTheme="minorEastAsia" w:hAnsiTheme="minorEastAsia" w:cstheme="minorEastAsia"/>
          <w:sz w:val="24"/>
        </w:rPr>
      </w:pPr>
      <w:r>
        <w:rPr>
          <w:rFonts w:hint="eastAsia" w:asciiTheme="minorEastAsia" w:hAnsiTheme="minorEastAsia" w:cstheme="minorEastAsia"/>
          <w:sz w:val="24"/>
        </w:rPr>
        <w:t>3.</w:t>
      </w:r>
      <w:r>
        <w:rPr>
          <w:rFonts w:asciiTheme="minorEastAsia" w:hAnsiTheme="minorEastAsia" w:cstheme="minorEastAsia"/>
          <w:sz w:val="24"/>
        </w:rPr>
        <w:t>4</w:t>
      </w:r>
      <w:r>
        <w:rPr>
          <w:rFonts w:hint="eastAsia" w:asciiTheme="minorEastAsia" w:hAnsiTheme="minorEastAsia" w:cstheme="minorEastAsia"/>
          <w:sz w:val="24"/>
        </w:rPr>
        <w:t>.2</w:t>
      </w:r>
      <w:r>
        <w:rPr>
          <w:rFonts w:asciiTheme="minorEastAsia" w:hAnsiTheme="minorEastAsia" w:cstheme="minorEastAsia"/>
          <w:sz w:val="24"/>
        </w:rPr>
        <w:t>下次就诊的问诊重点</w:t>
      </w:r>
    </w:p>
    <w:p w14:paraId="5A72F8B8">
      <w:pPr>
        <w:spacing w:line="360" w:lineRule="auto"/>
        <w:ind w:firstLine="480" w:firstLineChars="200"/>
        <w:rPr>
          <w:rFonts w:ascii="宋体" w:hAnsi="宋体" w:cs="宋体"/>
          <w:sz w:val="24"/>
        </w:rPr>
      </w:pPr>
      <w:r>
        <w:rPr>
          <w:rFonts w:hint="eastAsia" w:ascii="微软雅黑" w:hAnsi="微软雅黑" w:cs="微软雅黑"/>
          <w:sz w:val="24"/>
        </w:rPr>
        <w:t>①</w:t>
      </w:r>
      <w:r>
        <w:rPr>
          <w:rFonts w:hint="eastAsia" w:ascii="宋体" w:hAnsi="宋体" w:cs="宋体"/>
          <w:sz w:val="24"/>
        </w:rPr>
        <w:t>症状改善情况、有无出现尿潴留、血尿等情况；</w:t>
      </w:r>
    </w:p>
    <w:p w14:paraId="04E54534">
      <w:pPr>
        <w:spacing w:line="360" w:lineRule="auto"/>
        <w:ind w:firstLine="480" w:firstLineChars="200"/>
        <w:rPr>
          <w:rFonts w:ascii="宋体" w:hAnsi="宋体" w:cs="宋体"/>
          <w:sz w:val="24"/>
        </w:rPr>
      </w:pPr>
      <w:r>
        <w:rPr>
          <w:rFonts w:hint="eastAsia" w:ascii="微软雅黑" w:hAnsi="微软雅黑" w:cs="微软雅黑"/>
          <w:sz w:val="24"/>
        </w:rPr>
        <w:t>②</w:t>
      </w:r>
      <w:r>
        <w:rPr>
          <w:rFonts w:hint="eastAsia" w:ascii="宋体" w:hAnsi="宋体" w:cs="宋体"/>
          <w:sz w:val="24"/>
        </w:rPr>
        <w:t>有无药物不良反应；</w:t>
      </w:r>
    </w:p>
    <w:p w14:paraId="18E014DB">
      <w:pPr>
        <w:spacing w:line="360" w:lineRule="auto"/>
        <w:ind w:firstLine="480" w:firstLineChars="200"/>
        <w:rPr>
          <w:rFonts w:ascii="宋体" w:hAnsi="宋体" w:cs="宋体"/>
          <w:sz w:val="24"/>
        </w:rPr>
      </w:pPr>
      <w:r>
        <w:rPr>
          <w:rFonts w:hint="eastAsia" w:ascii="微软雅黑" w:hAnsi="微软雅黑" w:cs="微软雅黑"/>
          <w:sz w:val="24"/>
        </w:rPr>
        <w:t>③</w:t>
      </w:r>
      <w:r>
        <w:rPr>
          <w:rFonts w:hint="eastAsia" w:ascii="宋体" w:hAnsi="宋体" w:cs="宋体"/>
          <w:sz w:val="24"/>
        </w:rPr>
        <w:t>久坐有无纠正，是否经常出现便秘。</w:t>
      </w:r>
    </w:p>
    <w:p w14:paraId="12E323CA">
      <w:pPr>
        <w:spacing w:line="360" w:lineRule="auto"/>
        <w:rPr>
          <w:rFonts w:asciiTheme="minorEastAsia" w:hAnsiTheme="minorEastAsia" w:cstheme="minorEastAsia"/>
          <w:b/>
          <w:bCs/>
          <w:sz w:val="24"/>
        </w:rPr>
      </w:pPr>
      <w:r>
        <w:rPr>
          <w:rFonts w:hint="eastAsia" w:asciiTheme="minorEastAsia" w:hAnsiTheme="minorEastAsia" w:cstheme="minorEastAsia"/>
          <w:b/>
          <w:bCs/>
          <w:sz w:val="24"/>
        </w:rPr>
        <w:t>4.</w:t>
      </w:r>
      <w:r>
        <w:rPr>
          <w:rFonts w:asciiTheme="minorEastAsia" w:hAnsiTheme="minorEastAsia" w:cstheme="minorEastAsia"/>
          <w:b/>
          <w:bCs/>
          <w:sz w:val="24"/>
        </w:rPr>
        <w:t>讨论</w:t>
      </w:r>
    </w:p>
    <w:p w14:paraId="6F333E55">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国家定期发布《</w:t>
      </w:r>
      <w:r>
        <w:rPr>
          <w:rFonts w:asciiTheme="minorEastAsia" w:hAnsiTheme="minorEastAsia" w:cstheme="minorEastAsia"/>
          <w:sz w:val="24"/>
        </w:rPr>
        <w:t>良性前列腺增生诊疗及健康管理指南</w:t>
      </w:r>
      <w:r>
        <w:rPr>
          <w:rFonts w:hint="eastAsia" w:asciiTheme="minorEastAsia" w:hAnsiTheme="minorEastAsia" w:cstheme="minorEastAsia"/>
          <w:sz w:val="24"/>
        </w:rPr>
        <w:t>》，且于2024年发布了《基层良性前列腺增生管理专家共识（上海）》。良性前列腺增生症为社区常见多发病，因病程长、夜尿频多影响患者睡眠质量，同时老年患者患多种疾病的情况较多，睡眠质量降低也会造成高血压、糖尿病、冠心病等多种疾病病情不稳定。由于此病为常见病、多发病，不易引起基层医生的重视，在基层慢性病管理中按照指南进行量表测量的情况欠佳，应提请基层医生进行规范化管理。</w:t>
      </w:r>
    </w:p>
    <w:p w14:paraId="7BBE5360">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在《基层良性前列腺增生管理专家共识（上海）》中，提出了ＶＰＳＳ 评分量表，该量表是 ＩＰＳＳ 的图像化解释，通过尿频、夜尿、尿线情况、生活质量４个方面进行疾病程度评估。患者在诊前可通过 ＶＰＳＳ 量表进行自评，问诊中可直接参考 ＶＰＳＳ 测评结果。该量表在基层临床诊疗中的作用需要基层医生经过实践验证是否对此病的管理有助力作用。</w:t>
      </w:r>
    </w:p>
    <w:p w14:paraId="087C4179">
      <w:pPr>
        <w:spacing w:line="360" w:lineRule="auto"/>
        <w:rPr>
          <w:rFonts w:asciiTheme="minorEastAsia" w:hAnsiTheme="minorEastAsia" w:cstheme="minorEastAsia"/>
          <w:b/>
          <w:sz w:val="24"/>
        </w:rPr>
      </w:pPr>
      <w:r>
        <w:rPr>
          <w:rFonts w:asciiTheme="minorEastAsia" w:hAnsiTheme="minorEastAsia" w:cstheme="minorEastAsia"/>
          <w:b/>
          <w:sz w:val="24"/>
        </w:rPr>
        <w:t>参考文献</w:t>
      </w:r>
    </w:p>
    <w:p w14:paraId="0CDB4A0A">
      <w:pPr>
        <w:spacing w:line="360" w:lineRule="auto"/>
        <w:rPr>
          <w:rFonts w:asciiTheme="minorEastAsia" w:hAnsiTheme="minorEastAsia" w:cstheme="minorEastAsia"/>
          <w:sz w:val="24"/>
        </w:rPr>
      </w:pPr>
      <w:r>
        <w:rPr>
          <w:rFonts w:asciiTheme="minorEastAsia" w:hAnsiTheme="minorEastAsia" w:cstheme="minorEastAsia"/>
          <w:sz w:val="24"/>
        </w:rPr>
        <w:t>良性前列腺增生诊疗及健康管理指南 [J]. 中华男科学杂志, 2022, 28 (04): 356-365. DOI:10.13263/j.cnki.nja.2022.04.012.</w:t>
      </w:r>
    </w:p>
    <w:p w14:paraId="5F8E35E4">
      <w:pPr>
        <w:spacing w:line="360" w:lineRule="auto"/>
        <w:rPr>
          <w:rFonts w:asciiTheme="minorEastAsia" w:hAnsiTheme="minorEastAsia" w:cstheme="minorEastAsia"/>
          <w:b/>
          <w:bCs/>
          <w:sz w:val="24"/>
        </w:rPr>
      </w:pPr>
      <w:r>
        <w:rPr>
          <w:rFonts w:hint="eastAsia" w:asciiTheme="minorEastAsia" w:hAnsiTheme="minorEastAsia" w:cstheme="minorEastAsia"/>
          <w:b/>
          <w:bCs/>
          <w:sz w:val="24"/>
        </w:rPr>
        <w:t>5</w:t>
      </w:r>
      <w:r>
        <w:rPr>
          <w:rFonts w:asciiTheme="minorEastAsia" w:hAnsiTheme="minorEastAsia" w:cstheme="minorEastAsia"/>
          <w:b/>
          <w:bCs/>
          <w:sz w:val="24"/>
        </w:rPr>
        <w:t>.附加材料</w:t>
      </w:r>
    </w:p>
    <w:p w14:paraId="26A6939E">
      <w:pPr>
        <w:spacing w:line="360" w:lineRule="auto"/>
        <w:rPr>
          <w:rFonts w:asciiTheme="minorEastAsia" w:hAnsiTheme="minorEastAsia" w:cstheme="minorEastAsia"/>
          <w:sz w:val="24"/>
        </w:rPr>
      </w:pPr>
      <w:r>
        <w:rPr>
          <w:rFonts w:hint="eastAsia" w:asciiTheme="minorEastAsia" w:hAnsiTheme="minorEastAsia" w:cstheme="minorEastAsia"/>
          <w:sz w:val="24"/>
        </w:rPr>
        <w:t>略</w:t>
      </w:r>
    </w:p>
    <w:p w14:paraId="244B86FF">
      <w:pPr>
        <w:pStyle w:val="2"/>
        <w:rPr>
          <w:rFonts w:hint="eastAsia" w:ascii="Arial" w:hAnsi="Arial" w:eastAsia="宋体" w:cs="Arial"/>
          <w:sz w:val="24"/>
        </w:rPr>
      </w:pPr>
    </w:p>
    <w:p w14:paraId="1B0500B7">
      <w:pPr>
        <w:spacing w:after="100" w:afterAutospacing="1" w:line="360" w:lineRule="auto"/>
        <w:contextualSpacing/>
        <w:rPr>
          <w:rFonts w:asciiTheme="minorEastAsia" w:hAnsiTheme="minorEastAsia" w:cstheme="minorEastAsia"/>
          <w:szCs w:val="21"/>
        </w:rPr>
      </w:pPr>
    </w:p>
    <w:p w14:paraId="69DA46AD">
      <w:pPr>
        <w:pStyle w:val="2"/>
        <w:rPr>
          <w:rFonts w:asciiTheme="minorEastAsia" w:hAnsiTheme="minorEastAsia" w:cstheme="minorEastAsia"/>
          <w:szCs w:val="21"/>
        </w:rPr>
      </w:pPr>
    </w:p>
    <w:p w14:paraId="12C1E625">
      <w:pPr>
        <w:pStyle w:val="2"/>
        <w:rPr>
          <w:rFonts w:asciiTheme="minorEastAsia" w:hAnsiTheme="minorEastAsia" w:cstheme="minorEastAsia"/>
          <w:szCs w:val="21"/>
        </w:rPr>
      </w:pPr>
    </w:p>
    <w:p w14:paraId="702EEC44">
      <w:pPr>
        <w:pStyle w:val="2"/>
        <w:rPr>
          <w:rFonts w:asciiTheme="minorEastAsia" w:hAnsiTheme="minorEastAsia" w:cstheme="minorEastAsia"/>
          <w:szCs w:val="21"/>
        </w:rPr>
      </w:pPr>
    </w:p>
    <w:p w14:paraId="0485F4B7">
      <w:pPr>
        <w:pStyle w:val="2"/>
        <w:rPr>
          <w:rFonts w:asciiTheme="minorEastAsia" w:hAnsiTheme="minorEastAsia" w:cstheme="minorEastAsia"/>
          <w:szCs w:val="21"/>
        </w:rPr>
      </w:pPr>
    </w:p>
    <w:p w14:paraId="05014AC1">
      <w:pPr>
        <w:pStyle w:val="2"/>
        <w:rPr>
          <w:rFonts w:asciiTheme="minorEastAsia" w:hAnsiTheme="minorEastAsia" w:cstheme="minorEastAsia"/>
          <w:szCs w:val="21"/>
        </w:rPr>
      </w:pPr>
    </w:p>
    <w:p w14:paraId="4B2351E5">
      <w:pPr>
        <w:pStyle w:val="2"/>
        <w:rPr>
          <w:rFonts w:asciiTheme="minorEastAsia" w:hAnsiTheme="minorEastAsia" w:cstheme="minorEastAsia"/>
          <w:szCs w:val="21"/>
        </w:rPr>
      </w:pPr>
    </w:p>
    <w:p w14:paraId="151F9393">
      <w:pPr>
        <w:pStyle w:val="2"/>
        <w:rPr>
          <w:rFonts w:asciiTheme="minorEastAsia" w:hAnsiTheme="minorEastAsia" w:cstheme="minorEastAsia"/>
          <w:szCs w:val="21"/>
        </w:rPr>
      </w:pPr>
    </w:p>
    <w:p w14:paraId="35BBA7D3">
      <w:pPr>
        <w:pStyle w:val="2"/>
        <w:rPr>
          <w:rFonts w:asciiTheme="minorEastAsia" w:hAnsiTheme="minorEastAsia" w:cstheme="minorEastAsia"/>
          <w:szCs w:val="21"/>
        </w:rPr>
      </w:pPr>
    </w:p>
    <w:p w14:paraId="3D03679F">
      <w:pPr>
        <w:pStyle w:val="2"/>
        <w:rPr>
          <w:rFonts w:asciiTheme="minorEastAsia" w:hAnsiTheme="minorEastAsia" w:cstheme="minorEastAsia"/>
          <w:szCs w:val="21"/>
        </w:rPr>
      </w:pPr>
    </w:p>
    <w:p w14:paraId="2FE4537C">
      <w:pPr>
        <w:pStyle w:val="2"/>
        <w:rPr>
          <w:rFonts w:asciiTheme="minorEastAsia" w:hAnsiTheme="minorEastAsia" w:cstheme="minorEastAsia"/>
          <w:szCs w:val="21"/>
        </w:rPr>
      </w:pPr>
    </w:p>
    <w:p w14:paraId="00FA1FFB">
      <w:pPr>
        <w:pStyle w:val="2"/>
        <w:rPr>
          <w:rFonts w:asciiTheme="minorEastAsia" w:hAnsiTheme="minorEastAsia" w:cstheme="minorEastAsia"/>
          <w:szCs w:val="21"/>
        </w:rPr>
      </w:pPr>
    </w:p>
    <w:p w14:paraId="2DFD8D6E">
      <w:pPr>
        <w:pStyle w:val="2"/>
        <w:rPr>
          <w:rFonts w:asciiTheme="minorEastAsia" w:hAnsiTheme="minorEastAsia" w:cstheme="minorEastAsia"/>
          <w:szCs w:val="21"/>
        </w:rPr>
      </w:pPr>
    </w:p>
    <w:p w14:paraId="014F4B58">
      <w:pPr>
        <w:pStyle w:val="2"/>
        <w:rPr>
          <w:rFonts w:asciiTheme="minorEastAsia" w:hAnsiTheme="minorEastAsia" w:cstheme="minorEastAsia"/>
          <w:szCs w:val="21"/>
        </w:rPr>
      </w:pPr>
    </w:p>
    <w:p w14:paraId="5236C419">
      <w:pPr>
        <w:pStyle w:val="2"/>
        <w:rPr>
          <w:rFonts w:asciiTheme="minorEastAsia" w:hAnsiTheme="minorEastAsia" w:cstheme="minorEastAsia"/>
          <w:szCs w:val="21"/>
        </w:rPr>
      </w:pPr>
    </w:p>
    <w:p w14:paraId="03047DFB">
      <w:pPr>
        <w:pStyle w:val="2"/>
        <w:rPr>
          <w:rFonts w:asciiTheme="minorEastAsia" w:hAnsiTheme="minorEastAsia" w:cstheme="minorEastAsia"/>
          <w:szCs w:val="21"/>
        </w:rPr>
      </w:pPr>
    </w:p>
    <w:p w14:paraId="5BF00AFF">
      <w:pPr>
        <w:pStyle w:val="2"/>
        <w:rPr>
          <w:rFonts w:asciiTheme="minorEastAsia" w:hAnsiTheme="minorEastAsia" w:cstheme="minorEastAsia"/>
          <w:szCs w:val="21"/>
        </w:rPr>
      </w:pPr>
    </w:p>
    <w:p w14:paraId="5E78E51A">
      <w:pPr>
        <w:pStyle w:val="2"/>
        <w:rPr>
          <w:rFonts w:asciiTheme="minorEastAsia" w:hAnsiTheme="minorEastAsia" w:cstheme="minorEastAsia"/>
          <w:szCs w:val="21"/>
        </w:rPr>
      </w:pPr>
    </w:p>
    <w:p w14:paraId="0E2AA6F0">
      <w:pPr>
        <w:pStyle w:val="2"/>
        <w:rPr>
          <w:rFonts w:asciiTheme="minorEastAsia" w:hAnsiTheme="minorEastAsia" w:cstheme="minorEastAsia"/>
          <w:szCs w:val="21"/>
        </w:rPr>
      </w:pPr>
    </w:p>
    <w:p w14:paraId="3694FA12">
      <w:pPr>
        <w:pStyle w:val="2"/>
        <w:rPr>
          <w:rFonts w:asciiTheme="minorEastAsia" w:hAnsiTheme="minorEastAsia" w:cstheme="minorEastAsia"/>
          <w:szCs w:val="21"/>
        </w:rPr>
      </w:pPr>
    </w:p>
    <w:p w14:paraId="7BE32D7D">
      <w:pPr>
        <w:pStyle w:val="2"/>
        <w:rPr>
          <w:rFonts w:asciiTheme="minorEastAsia" w:hAnsiTheme="minorEastAsia" w:cstheme="minorEastAsia"/>
          <w:szCs w:val="21"/>
        </w:rPr>
      </w:pPr>
    </w:p>
    <w:p w14:paraId="6E573678">
      <w:pPr>
        <w:pStyle w:val="2"/>
        <w:rPr>
          <w:rFonts w:asciiTheme="minorEastAsia" w:hAnsiTheme="minorEastAsia" w:cstheme="minorEastAsia"/>
          <w:szCs w:val="21"/>
        </w:rPr>
      </w:pPr>
    </w:p>
    <w:p w14:paraId="6A470B68">
      <w:pPr>
        <w:jc w:val="center"/>
        <w:rPr>
          <w:rFonts w:asciiTheme="minorEastAsia" w:hAnsiTheme="minorEastAsia" w:cstheme="minorEastAsia"/>
          <w:szCs w:val="21"/>
        </w:rPr>
      </w:pPr>
      <w:r>
        <w:rPr>
          <w:rFonts w:hint="eastAsia" w:ascii="黑体" w:hAnsi="黑体" w:eastAsia="黑体" w:cs="黑体"/>
          <w:sz w:val="32"/>
          <w:szCs w:val="21"/>
        </w:rPr>
        <w:t>基层全科病案报告（急症病例）模板</w:t>
      </w:r>
    </w:p>
    <w:tbl>
      <w:tblPr>
        <w:tblStyle w:val="13"/>
        <w:tblpPr w:leftFromText="180" w:rightFromText="180" w:vertAnchor="text" w:horzAnchor="page" w:tblpX="844" w:tblpY="308"/>
        <w:tblOverlap w:val="never"/>
        <w:tblW w:w="10201"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29"/>
        <w:gridCol w:w="4962"/>
        <w:gridCol w:w="4110"/>
      </w:tblGrid>
      <w:tr w14:paraId="7ECF66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5" w:hRule="atLeast"/>
        </w:trPr>
        <w:tc>
          <w:tcPr>
            <w:tcW w:w="1129" w:type="dxa"/>
            <w:vAlign w:val="center"/>
          </w:tcPr>
          <w:p w14:paraId="27AF0CCD">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内容</w:t>
            </w:r>
          </w:p>
        </w:tc>
        <w:tc>
          <w:tcPr>
            <w:tcW w:w="4962" w:type="dxa"/>
            <w:vAlign w:val="center"/>
          </w:tcPr>
          <w:p w14:paraId="19AF9D45">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写作要点</w:t>
            </w:r>
          </w:p>
        </w:tc>
        <w:tc>
          <w:tcPr>
            <w:tcW w:w="4110" w:type="dxa"/>
            <w:vAlign w:val="center"/>
          </w:tcPr>
          <w:p w14:paraId="4C7B44F1">
            <w:pPr>
              <w:ind w:right="2442" w:rightChars="1163"/>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备注说明</w:t>
            </w:r>
          </w:p>
        </w:tc>
      </w:tr>
      <w:tr w14:paraId="058237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2" w:hRule="atLeast"/>
        </w:trPr>
        <w:tc>
          <w:tcPr>
            <w:tcW w:w="1129" w:type="dxa"/>
            <w:vAlign w:val="center"/>
          </w:tcPr>
          <w:p w14:paraId="2EC90B0E">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题目</w:t>
            </w:r>
          </w:p>
        </w:tc>
        <w:tc>
          <w:tcPr>
            <w:tcW w:w="4962" w:type="dxa"/>
          </w:tcPr>
          <w:p w14:paraId="4249BA1D">
            <w:pPr>
              <w:rPr>
                <w:rFonts w:asciiTheme="minorEastAsia" w:hAnsiTheme="minorEastAsia" w:cstheme="minorEastAsia"/>
                <w:sz w:val="18"/>
                <w:szCs w:val="18"/>
              </w:rPr>
            </w:pPr>
            <w:r>
              <w:rPr>
                <w:rFonts w:hint="eastAsia" w:asciiTheme="minorEastAsia" w:hAnsiTheme="minorEastAsia" w:cstheme="minorEastAsia"/>
                <w:sz w:val="18"/>
                <w:szCs w:val="18"/>
              </w:rPr>
              <w:t>□题目应体现研究类型为“病案报告”</w:t>
            </w:r>
          </w:p>
          <w:p w14:paraId="40DC427F">
            <w:pPr>
              <w:rPr>
                <w:rFonts w:asciiTheme="minorEastAsia" w:hAnsiTheme="minorEastAsia" w:cstheme="minorEastAsia"/>
                <w:sz w:val="18"/>
                <w:szCs w:val="18"/>
              </w:rPr>
            </w:pPr>
            <w:r>
              <w:rPr>
                <w:rFonts w:hint="eastAsia" w:asciiTheme="minorEastAsia" w:hAnsiTheme="minorEastAsia" w:cstheme="minorEastAsia"/>
                <w:sz w:val="18"/>
                <w:szCs w:val="18"/>
              </w:rPr>
              <w:t>□题目可选“【几】例（案、则）/【特殊性】/【疾病名称】/【疑难】/【病案报告】（个案/报告）”</w:t>
            </w:r>
          </w:p>
        </w:tc>
        <w:tc>
          <w:tcPr>
            <w:tcW w:w="4110" w:type="dxa"/>
          </w:tcPr>
          <w:p w14:paraId="72D0D873">
            <w:pPr>
              <w:jc w:val="left"/>
              <w:rPr>
                <w:rFonts w:asciiTheme="minorEastAsia" w:hAnsiTheme="minorEastAsia" w:cstheme="minorEastAsia"/>
                <w:sz w:val="18"/>
                <w:szCs w:val="18"/>
              </w:rPr>
            </w:pPr>
            <w:r>
              <w:rPr>
                <w:rFonts w:hint="eastAsia" w:asciiTheme="minorEastAsia" w:hAnsiTheme="minorEastAsia" w:cstheme="minorEastAsia"/>
                <w:sz w:val="18"/>
                <w:szCs w:val="18"/>
              </w:rPr>
              <w:t>必填，少于20字，不使用外文缩写词，需体现病例的特殊性和研究重点。</w:t>
            </w:r>
          </w:p>
        </w:tc>
      </w:tr>
      <w:tr w14:paraId="4E50DD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5" w:hRule="atLeast"/>
        </w:trPr>
        <w:tc>
          <w:tcPr>
            <w:tcW w:w="1129" w:type="dxa"/>
            <w:vAlign w:val="center"/>
          </w:tcPr>
          <w:p w14:paraId="2ACA1573">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作者署名及其单位</w:t>
            </w:r>
          </w:p>
        </w:tc>
        <w:tc>
          <w:tcPr>
            <w:tcW w:w="4962" w:type="dxa"/>
          </w:tcPr>
          <w:p w14:paraId="34E86FEE">
            <w:pPr>
              <w:rPr>
                <w:rFonts w:asciiTheme="minorEastAsia" w:hAnsiTheme="minorEastAsia" w:cstheme="minorEastAsia"/>
                <w:sz w:val="18"/>
                <w:szCs w:val="18"/>
              </w:rPr>
            </w:pPr>
            <w:r>
              <w:rPr>
                <w:rFonts w:hint="eastAsia" w:asciiTheme="minorEastAsia" w:hAnsiTheme="minorEastAsia" w:cstheme="minorEastAsia"/>
                <w:sz w:val="18"/>
                <w:szCs w:val="18"/>
              </w:rPr>
              <w:t>□申报人姓名采用姓在前、名在后</w:t>
            </w:r>
          </w:p>
          <w:p w14:paraId="7B1B4CBE">
            <w:pPr>
              <w:rPr>
                <w:rFonts w:asciiTheme="minorEastAsia" w:hAnsiTheme="minorEastAsia" w:cstheme="minorEastAsia"/>
                <w:sz w:val="18"/>
                <w:szCs w:val="18"/>
              </w:rPr>
            </w:pPr>
            <w:r>
              <w:rPr>
                <w:rFonts w:hint="eastAsia" w:asciiTheme="minorEastAsia" w:hAnsiTheme="minorEastAsia" w:cstheme="minorEastAsia"/>
                <w:sz w:val="18"/>
                <w:szCs w:val="18"/>
              </w:rPr>
              <w:t>□申报人单位填写职称申报单位（如：XX医院，XX大学附属医院，XX中心），具体到二级机构（如XX科室，XX部门）</w:t>
            </w:r>
          </w:p>
          <w:p w14:paraId="0B819508">
            <w:pPr>
              <w:rPr>
                <w:rFonts w:asciiTheme="minorEastAsia" w:hAnsiTheme="minorEastAsia" w:cstheme="minorEastAsia"/>
                <w:sz w:val="18"/>
                <w:szCs w:val="18"/>
              </w:rPr>
            </w:pPr>
            <w:r>
              <w:rPr>
                <w:rFonts w:hint="eastAsia" w:asciiTheme="minorEastAsia" w:hAnsiTheme="minorEastAsia" w:cstheme="minorEastAsia"/>
                <w:sz w:val="18"/>
                <w:szCs w:val="18"/>
              </w:rPr>
              <w:t>□写明申报人目前职称、专业及拟申报职称、专业</w:t>
            </w:r>
          </w:p>
        </w:tc>
        <w:tc>
          <w:tcPr>
            <w:tcW w:w="4110" w:type="dxa"/>
          </w:tcPr>
          <w:p w14:paraId="50A83DF4">
            <w:pPr>
              <w:jc w:val="left"/>
              <w:rPr>
                <w:rFonts w:asciiTheme="minorEastAsia" w:hAnsiTheme="minorEastAsia" w:cstheme="minorEastAsia"/>
                <w:sz w:val="18"/>
                <w:szCs w:val="18"/>
              </w:rPr>
            </w:pPr>
            <w:r>
              <w:rPr>
                <w:rFonts w:hint="eastAsia" w:asciiTheme="minorEastAsia" w:hAnsiTheme="minorEastAsia" w:cstheme="minorEastAsia"/>
                <w:sz w:val="18"/>
                <w:szCs w:val="18"/>
              </w:rPr>
              <w:t>必填，单位名称需官方准确。</w:t>
            </w:r>
          </w:p>
        </w:tc>
      </w:tr>
      <w:tr w14:paraId="2F8DFD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1129" w:type="dxa"/>
            <w:vAlign w:val="center"/>
          </w:tcPr>
          <w:p w14:paraId="4E4017C5">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引言</w:t>
            </w:r>
          </w:p>
        </w:tc>
        <w:tc>
          <w:tcPr>
            <w:tcW w:w="4962" w:type="dxa"/>
          </w:tcPr>
          <w:p w14:paraId="3EBE054F">
            <w:pPr>
              <w:rPr>
                <w:rFonts w:asciiTheme="minorEastAsia" w:hAnsiTheme="minorEastAsia" w:cstheme="minorEastAsia"/>
                <w:sz w:val="18"/>
                <w:szCs w:val="18"/>
              </w:rPr>
            </w:pPr>
            <w:r>
              <w:rPr>
                <w:rFonts w:hint="eastAsia" w:asciiTheme="minorEastAsia" w:hAnsiTheme="minorEastAsia" w:cstheme="minorEastAsia"/>
                <w:sz w:val="18"/>
                <w:szCs w:val="18"/>
              </w:rPr>
              <w:t>□简要总结该病例的背景情况，该病例的特殊性</w:t>
            </w:r>
          </w:p>
          <w:p w14:paraId="1B87E183">
            <w:pPr>
              <w:rPr>
                <w:rFonts w:asciiTheme="minorEastAsia" w:hAnsiTheme="minorEastAsia" w:cstheme="minorEastAsia"/>
                <w:sz w:val="18"/>
                <w:szCs w:val="18"/>
              </w:rPr>
            </w:pPr>
            <w:r>
              <w:rPr>
                <w:rFonts w:hint="eastAsia" w:asciiTheme="minorEastAsia" w:hAnsiTheme="minorEastAsia" w:cstheme="minorEastAsia"/>
                <w:sz w:val="18"/>
                <w:szCs w:val="18"/>
              </w:rPr>
              <w:t>□撰写本病案报告的必要性</w:t>
            </w:r>
          </w:p>
          <w:p w14:paraId="0D25811C">
            <w:pPr>
              <w:rPr>
                <w:rFonts w:asciiTheme="minorEastAsia" w:hAnsiTheme="minorEastAsia" w:cstheme="minorEastAsia"/>
                <w:sz w:val="18"/>
                <w:szCs w:val="18"/>
              </w:rPr>
            </w:pPr>
            <w:r>
              <w:rPr>
                <w:rFonts w:hint="eastAsia" w:asciiTheme="minorEastAsia" w:hAnsiTheme="minorEastAsia" w:cstheme="minorEastAsia"/>
                <w:sz w:val="18"/>
                <w:szCs w:val="18"/>
              </w:rPr>
              <w:t>□本病例当前的诊疗标准以及本病例的贡献或特性，来源和出处可标注参考文献</w:t>
            </w:r>
          </w:p>
        </w:tc>
        <w:tc>
          <w:tcPr>
            <w:tcW w:w="4110" w:type="dxa"/>
          </w:tcPr>
          <w:p w14:paraId="1AB1125B">
            <w:pPr>
              <w:tabs>
                <w:tab w:val="left" w:pos="3150"/>
              </w:tabs>
              <w:jc w:val="left"/>
              <w:rPr>
                <w:rFonts w:asciiTheme="minorEastAsia" w:hAnsiTheme="minorEastAsia" w:cstheme="minorEastAsia"/>
                <w:sz w:val="18"/>
                <w:szCs w:val="18"/>
              </w:rPr>
            </w:pPr>
            <w:r>
              <w:rPr>
                <w:rFonts w:hint="eastAsia" w:asciiTheme="minorEastAsia" w:hAnsiTheme="minorEastAsia" w:cstheme="minorEastAsia"/>
                <w:sz w:val="18"/>
                <w:szCs w:val="18"/>
              </w:rPr>
              <w:t>必填，200字以内，客观描述。</w:t>
            </w:r>
          </w:p>
        </w:tc>
      </w:tr>
      <w:tr w14:paraId="3F4150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6" w:hRule="atLeast"/>
        </w:trPr>
        <w:tc>
          <w:tcPr>
            <w:tcW w:w="10201" w:type="dxa"/>
            <w:gridSpan w:val="3"/>
            <w:vAlign w:val="center"/>
          </w:tcPr>
          <w:p w14:paraId="2A4BFE23">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1</w:t>
            </w:r>
            <w:r>
              <w:rPr>
                <w:rFonts w:asciiTheme="minorEastAsia" w:hAnsiTheme="minorEastAsia" w:cstheme="minorEastAsia"/>
                <w:b/>
                <w:bCs/>
                <w:sz w:val="18"/>
                <w:szCs w:val="18"/>
              </w:rPr>
              <w:t>.</w:t>
            </w:r>
            <w:r>
              <w:rPr>
                <w:rFonts w:hint="eastAsia" w:asciiTheme="minorEastAsia" w:hAnsiTheme="minorEastAsia" w:cstheme="minorEastAsia"/>
                <w:b/>
                <w:bCs/>
                <w:sz w:val="18"/>
                <w:szCs w:val="18"/>
              </w:rPr>
              <w:t>病例资料</w:t>
            </w:r>
          </w:p>
        </w:tc>
      </w:tr>
      <w:tr w14:paraId="5F7003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8" w:hRule="atLeast"/>
        </w:trPr>
        <w:tc>
          <w:tcPr>
            <w:tcW w:w="1129" w:type="dxa"/>
            <w:vAlign w:val="center"/>
          </w:tcPr>
          <w:p w14:paraId="745FF2BE">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 xml:space="preserve">1.1 </w:t>
            </w:r>
          </w:p>
          <w:p w14:paraId="5379069A">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 xml:space="preserve">S  （Subjective data   主观资料） </w:t>
            </w:r>
          </w:p>
          <w:p w14:paraId="2FED9CCF">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 xml:space="preserve">   </w:t>
            </w:r>
          </w:p>
        </w:tc>
        <w:tc>
          <w:tcPr>
            <w:tcW w:w="4962" w:type="dxa"/>
          </w:tcPr>
          <w:p w14:paraId="7B429EEE">
            <w:pPr>
              <w:rPr>
                <w:rFonts w:asciiTheme="minorEastAsia" w:hAnsiTheme="minorEastAsia" w:cstheme="minorEastAsia"/>
                <w:sz w:val="18"/>
                <w:szCs w:val="18"/>
              </w:rPr>
            </w:pPr>
            <w:r>
              <w:rPr>
                <w:rFonts w:hint="eastAsia" w:asciiTheme="minorEastAsia" w:hAnsiTheme="minorEastAsia" w:cstheme="minorEastAsia"/>
                <w:sz w:val="18"/>
                <w:szCs w:val="18"/>
              </w:rPr>
              <w:t>□患者人口学信息、病历号、出入院时间/接诊时间及其他</w:t>
            </w:r>
          </w:p>
          <w:p w14:paraId="560AB246">
            <w:pPr>
              <w:rPr>
                <w:rFonts w:asciiTheme="minorEastAsia" w:hAnsiTheme="minorEastAsia" w:cstheme="minorEastAsia"/>
                <w:sz w:val="18"/>
                <w:szCs w:val="18"/>
              </w:rPr>
            </w:pPr>
            <w:r>
              <w:rPr>
                <w:rFonts w:hint="eastAsia" w:asciiTheme="minorEastAsia" w:hAnsiTheme="minorEastAsia" w:cstheme="minorEastAsia"/>
                <w:sz w:val="18"/>
                <w:szCs w:val="18"/>
              </w:rPr>
              <w:t>□主诉：促使患者本次就诊的主要症状</w:t>
            </w:r>
          </w:p>
          <w:p w14:paraId="2E0849AA">
            <w:pPr>
              <w:rPr>
                <w:rFonts w:asciiTheme="minorEastAsia" w:hAnsiTheme="minorEastAsia" w:cstheme="minorEastAsia"/>
                <w:sz w:val="18"/>
                <w:szCs w:val="18"/>
              </w:rPr>
            </w:pPr>
            <w:r>
              <w:rPr>
                <w:rFonts w:hint="eastAsia" w:asciiTheme="minorEastAsia" w:hAnsiTheme="minorEastAsia" w:cstheme="minorEastAsia"/>
                <w:sz w:val="18"/>
                <w:szCs w:val="18"/>
              </w:rPr>
              <w:t>□现病史：按时间顺序、以时间轴为纲对本病例的主要症状和诊疗过程进行描述</w:t>
            </w:r>
          </w:p>
          <w:p w14:paraId="60E4BB3D">
            <w:pPr>
              <w:rPr>
                <w:rFonts w:asciiTheme="minorEastAsia" w:hAnsiTheme="minorEastAsia" w:cstheme="minorEastAsia"/>
                <w:sz w:val="18"/>
                <w:szCs w:val="18"/>
              </w:rPr>
            </w:pPr>
            <w:r>
              <w:rPr>
                <w:rFonts w:hint="eastAsia" w:asciiTheme="minorEastAsia" w:hAnsiTheme="minorEastAsia" w:cstheme="minorEastAsia"/>
                <w:sz w:val="18"/>
                <w:szCs w:val="18"/>
              </w:rPr>
              <w:t>□既往史：家族史，手术史，心理状况，遗传信息、流行病学史等，包括既往干预措施和结果</w:t>
            </w:r>
          </w:p>
          <w:p w14:paraId="0A314F18">
            <w:pPr>
              <w:rPr>
                <w:rFonts w:asciiTheme="minorEastAsia" w:hAnsiTheme="minorEastAsia" w:cstheme="minorEastAsia"/>
                <w:sz w:val="18"/>
                <w:szCs w:val="18"/>
              </w:rPr>
            </w:pPr>
            <w:r>
              <w:rPr>
                <w:rFonts w:hint="eastAsia" w:asciiTheme="minorEastAsia" w:hAnsiTheme="minorEastAsia" w:cstheme="minorEastAsia"/>
                <w:sz w:val="18"/>
                <w:szCs w:val="18"/>
              </w:rPr>
              <w:t>□生活习惯：生活方式</w:t>
            </w:r>
          </w:p>
        </w:tc>
        <w:tc>
          <w:tcPr>
            <w:tcW w:w="4110" w:type="dxa"/>
          </w:tcPr>
          <w:p w14:paraId="31D23AA8">
            <w:pPr>
              <w:jc w:val="left"/>
              <w:rPr>
                <w:rFonts w:asciiTheme="minorEastAsia" w:hAnsiTheme="minorEastAsia" w:cstheme="minorEastAsia"/>
                <w:sz w:val="18"/>
                <w:szCs w:val="18"/>
              </w:rPr>
            </w:pPr>
            <w:r>
              <w:rPr>
                <w:rFonts w:hint="eastAsia" w:asciiTheme="minorEastAsia" w:hAnsiTheme="minorEastAsia" w:cstheme="minorEastAsia"/>
                <w:sz w:val="18"/>
                <w:szCs w:val="18"/>
              </w:rPr>
              <w:t>必填，不超过400字，详细、准确，可以辅助图、表，保护患者隐私，注意信息的时效性和完整性。</w:t>
            </w:r>
          </w:p>
        </w:tc>
      </w:tr>
      <w:tr w14:paraId="570A5F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33" w:hRule="atLeast"/>
        </w:trPr>
        <w:tc>
          <w:tcPr>
            <w:tcW w:w="1129" w:type="dxa"/>
            <w:vAlign w:val="center"/>
          </w:tcPr>
          <w:p w14:paraId="71ACE202">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 xml:space="preserve">1.2 </w:t>
            </w:r>
          </w:p>
          <w:p w14:paraId="3E366792">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O  （Objective data   客观资料）</w:t>
            </w:r>
          </w:p>
          <w:p w14:paraId="0C45C91E">
            <w:pPr>
              <w:jc w:val="center"/>
              <w:rPr>
                <w:rFonts w:asciiTheme="minorEastAsia" w:hAnsiTheme="minorEastAsia" w:cstheme="minorEastAsia"/>
                <w:b/>
                <w:bCs/>
                <w:sz w:val="18"/>
                <w:szCs w:val="18"/>
              </w:rPr>
            </w:pPr>
          </w:p>
        </w:tc>
        <w:tc>
          <w:tcPr>
            <w:tcW w:w="4962" w:type="dxa"/>
          </w:tcPr>
          <w:p w14:paraId="0FF26010">
            <w:pPr>
              <w:rPr>
                <w:rFonts w:asciiTheme="minorEastAsia" w:hAnsiTheme="minorEastAsia" w:cstheme="minorEastAsia"/>
                <w:b/>
                <w:bCs/>
                <w:sz w:val="18"/>
                <w:szCs w:val="18"/>
              </w:rPr>
            </w:pPr>
            <w:r>
              <w:rPr>
                <w:rFonts w:asciiTheme="minorEastAsia" w:hAnsiTheme="minorEastAsia" w:cstheme="minorEastAsia"/>
                <w:b/>
                <w:bCs/>
                <w:sz w:val="18"/>
                <w:szCs w:val="18"/>
              </w:rPr>
              <w:t>1.2.1</w:t>
            </w:r>
            <w:r>
              <w:rPr>
                <w:rFonts w:hint="eastAsia" w:asciiTheme="minorEastAsia" w:hAnsiTheme="minorEastAsia" w:cstheme="minorEastAsia"/>
                <w:b/>
                <w:bCs/>
                <w:sz w:val="18"/>
                <w:szCs w:val="18"/>
              </w:rPr>
              <w:t>体格检查</w:t>
            </w:r>
          </w:p>
          <w:p w14:paraId="6B3EF448">
            <w:pPr>
              <w:rPr>
                <w:rFonts w:asciiTheme="minorEastAsia" w:hAnsiTheme="minorEastAsia" w:cstheme="minorEastAsia"/>
                <w:sz w:val="18"/>
                <w:szCs w:val="18"/>
              </w:rPr>
            </w:pPr>
            <w:r>
              <w:rPr>
                <w:rFonts w:hint="eastAsia" w:asciiTheme="minorEastAsia" w:hAnsiTheme="minorEastAsia" w:cstheme="minorEastAsia"/>
                <w:sz w:val="18"/>
                <w:szCs w:val="18"/>
              </w:rPr>
              <w:t>□描述患者的体格检查发现</w:t>
            </w:r>
          </w:p>
          <w:p w14:paraId="66E4C230">
            <w:pPr>
              <w:rPr>
                <w:rFonts w:asciiTheme="minorEastAsia" w:hAnsiTheme="minorEastAsia" w:cstheme="minorEastAsia"/>
                <w:b/>
                <w:bCs/>
                <w:sz w:val="18"/>
                <w:szCs w:val="18"/>
              </w:rPr>
            </w:pPr>
            <w:r>
              <w:rPr>
                <w:rFonts w:hint="eastAsia" w:asciiTheme="minorEastAsia" w:hAnsiTheme="minorEastAsia" w:cstheme="minorEastAsia"/>
                <w:b/>
                <w:bCs/>
                <w:sz w:val="18"/>
                <w:szCs w:val="18"/>
              </w:rPr>
              <w:t>1</w:t>
            </w:r>
            <w:r>
              <w:rPr>
                <w:rFonts w:asciiTheme="minorEastAsia" w:hAnsiTheme="minorEastAsia" w:cstheme="minorEastAsia"/>
                <w:b/>
                <w:bCs/>
                <w:sz w:val="18"/>
                <w:szCs w:val="18"/>
              </w:rPr>
              <w:t>.2.2</w:t>
            </w:r>
            <w:r>
              <w:rPr>
                <w:rFonts w:hint="eastAsia" w:asciiTheme="minorEastAsia" w:hAnsiTheme="minorEastAsia" w:cstheme="minorEastAsia"/>
                <w:b/>
                <w:bCs/>
                <w:sz w:val="18"/>
                <w:szCs w:val="18"/>
              </w:rPr>
              <w:t>辅助检查</w:t>
            </w:r>
          </w:p>
          <w:p w14:paraId="640F02B2">
            <w:pPr>
              <w:rPr>
                <w:rFonts w:asciiTheme="minorEastAsia" w:hAnsiTheme="minorEastAsia" w:cstheme="minorEastAsia"/>
                <w:sz w:val="18"/>
                <w:szCs w:val="18"/>
              </w:rPr>
            </w:pPr>
            <w:r>
              <w:rPr>
                <w:rFonts w:hint="eastAsia" w:asciiTheme="minorEastAsia" w:hAnsiTheme="minorEastAsia" w:cstheme="minorEastAsia"/>
                <w:sz w:val="18"/>
                <w:szCs w:val="18"/>
              </w:rPr>
              <w:t>□实验室检查、影像学检查等结果</w:t>
            </w:r>
          </w:p>
          <w:p w14:paraId="4EDF2F25">
            <w:pPr>
              <w:rPr>
                <w:rFonts w:asciiTheme="minorEastAsia" w:hAnsiTheme="minorEastAsia" w:cstheme="minorEastAsia"/>
                <w:b/>
                <w:sz w:val="18"/>
                <w:szCs w:val="18"/>
              </w:rPr>
            </w:pPr>
            <w:r>
              <w:rPr>
                <w:rFonts w:asciiTheme="minorEastAsia" w:hAnsiTheme="minorEastAsia" w:cstheme="minorEastAsia"/>
                <w:b/>
                <w:sz w:val="18"/>
                <w:szCs w:val="18"/>
              </w:rPr>
              <w:t>1.2.3</w:t>
            </w:r>
            <w:r>
              <w:rPr>
                <w:rFonts w:hint="eastAsia" w:asciiTheme="minorEastAsia" w:hAnsiTheme="minorEastAsia" w:cstheme="minorEastAsia"/>
                <w:b/>
                <w:sz w:val="18"/>
                <w:szCs w:val="18"/>
              </w:rPr>
              <w:t>评估内容</w:t>
            </w:r>
          </w:p>
          <w:p w14:paraId="098A5E6B">
            <w:pPr>
              <w:rPr>
                <w:rFonts w:asciiTheme="minorEastAsia" w:hAnsiTheme="minorEastAsia" w:cstheme="minorEastAsia"/>
                <w:sz w:val="18"/>
                <w:szCs w:val="18"/>
              </w:rPr>
            </w:pPr>
            <w:r>
              <w:rPr>
                <w:rFonts w:hint="eastAsia" w:asciiTheme="minorEastAsia" w:hAnsiTheme="minorEastAsia" w:cstheme="minorEastAsia"/>
                <w:sz w:val="18"/>
                <w:szCs w:val="18"/>
              </w:rPr>
              <w:t>□相应的评估内容</w:t>
            </w:r>
          </w:p>
        </w:tc>
        <w:tc>
          <w:tcPr>
            <w:tcW w:w="4110" w:type="dxa"/>
          </w:tcPr>
          <w:p w14:paraId="4B7DCD0E">
            <w:pPr>
              <w:jc w:val="left"/>
              <w:rPr>
                <w:rFonts w:asciiTheme="minorEastAsia" w:hAnsiTheme="minorEastAsia" w:cstheme="minorEastAsia"/>
                <w:sz w:val="18"/>
                <w:szCs w:val="18"/>
              </w:rPr>
            </w:pPr>
            <w:r>
              <w:rPr>
                <w:rFonts w:hint="eastAsia" w:asciiTheme="minorEastAsia" w:hAnsiTheme="minorEastAsia" w:cstheme="minorEastAsia"/>
                <w:sz w:val="18"/>
                <w:szCs w:val="18"/>
              </w:rPr>
              <w:t>必填，不超过</w:t>
            </w:r>
            <w:r>
              <w:rPr>
                <w:rFonts w:asciiTheme="minorEastAsia" w:hAnsiTheme="minorEastAsia" w:cstheme="minorEastAsia"/>
                <w:sz w:val="18"/>
                <w:szCs w:val="18"/>
              </w:rPr>
              <w:t>400</w:t>
            </w:r>
            <w:r>
              <w:rPr>
                <w:rFonts w:hint="eastAsia" w:asciiTheme="minorEastAsia" w:hAnsiTheme="minorEastAsia" w:cstheme="minorEastAsia"/>
                <w:sz w:val="18"/>
                <w:szCs w:val="18"/>
              </w:rPr>
              <w:t>字，阳性发现和重要的阴性体征,重要辅助检查结果和量表。</w:t>
            </w:r>
          </w:p>
        </w:tc>
      </w:tr>
      <w:tr w14:paraId="01C3C0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6" w:hRule="atLeast"/>
        </w:trPr>
        <w:tc>
          <w:tcPr>
            <w:tcW w:w="1129" w:type="dxa"/>
            <w:vAlign w:val="center"/>
          </w:tcPr>
          <w:p w14:paraId="7E74508C">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1</w:t>
            </w:r>
            <w:r>
              <w:rPr>
                <w:rFonts w:asciiTheme="minorEastAsia" w:hAnsiTheme="minorEastAsia" w:cstheme="minorEastAsia"/>
                <w:b/>
                <w:bCs/>
                <w:sz w:val="18"/>
                <w:szCs w:val="18"/>
              </w:rPr>
              <w:t>.3</w:t>
            </w:r>
          </w:p>
          <w:p w14:paraId="7124BF10">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 xml:space="preserve">A  （Assesment    对健康问题的评估）  </w:t>
            </w:r>
          </w:p>
        </w:tc>
        <w:tc>
          <w:tcPr>
            <w:tcW w:w="4962" w:type="dxa"/>
          </w:tcPr>
          <w:p w14:paraId="678A0159">
            <w:pPr>
              <w:rPr>
                <w:rFonts w:asciiTheme="minorEastAsia" w:hAnsiTheme="minorEastAsia" w:cstheme="minorEastAsia"/>
                <w:b/>
                <w:sz w:val="18"/>
                <w:szCs w:val="18"/>
              </w:rPr>
            </w:pPr>
            <w:r>
              <w:rPr>
                <w:rFonts w:asciiTheme="minorEastAsia" w:hAnsiTheme="minorEastAsia" w:cstheme="minorEastAsia"/>
                <w:b/>
                <w:sz w:val="18"/>
                <w:szCs w:val="18"/>
              </w:rPr>
              <w:t>1.3.1</w:t>
            </w:r>
            <w:r>
              <w:rPr>
                <w:rFonts w:hint="eastAsia" w:asciiTheme="minorEastAsia" w:hAnsiTheme="minorEastAsia" w:cstheme="minorEastAsia"/>
                <w:b/>
                <w:sz w:val="18"/>
                <w:szCs w:val="18"/>
              </w:rPr>
              <w:t>初步诊断</w:t>
            </w:r>
          </w:p>
          <w:p w14:paraId="63D19C33">
            <w:pPr>
              <w:rPr>
                <w:rFonts w:asciiTheme="minorEastAsia" w:hAnsiTheme="minorEastAsia" w:cstheme="minorEastAsia"/>
                <w:sz w:val="18"/>
                <w:szCs w:val="18"/>
              </w:rPr>
            </w:pPr>
            <w:r>
              <w:rPr>
                <w:rFonts w:hint="eastAsia" w:asciiTheme="minorEastAsia" w:hAnsiTheme="minorEastAsia" w:cstheme="minorEastAsia"/>
                <w:sz w:val="18"/>
                <w:szCs w:val="18"/>
              </w:rPr>
              <w:t>□诊断依据及方法：包括实验室检查，影像学检查等</w:t>
            </w:r>
          </w:p>
          <w:p w14:paraId="0693B2AA">
            <w:pPr>
              <w:rPr>
                <w:rFonts w:asciiTheme="minorEastAsia" w:hAnsiTheme="minorEastAsia" w:cstheme="minorEastAsia"/>
                <w:b/>
                <w:sz w:val="18"/>
                <w:szCs w:val="18"/>
              </w:rPr>
            </w:pPr>
            <w:r>
              <w:rPr>
                <w:rFonts w:asciiTheme="minorEastAsia" w:hAnsiTheme="minorEastAsia" w:cstheme="minorEastAsia"/>
                <w:b/>
                <w:sz w:val="18"/>
                <w:szCs w:val="18"/>
              </w:rPr>
              <w:t>1.3.2</w:t>
            </w:r>
            <w:r>
              <w:rPr>
                <w:rFonts w:hint="eastAsia" w:asciiTheme="minorEastAsia" w:hAnsiTheme="minorEastAsia" w:cstheme="minorEastAsia"/>
                <w:b/>
                <w:sz w:val="18"/>
                <w:szCs w:val="18"/>
              </w:rPr>
              <w:t>鉴别诊断</w:t>
            </w:r>
          </w:p>
          <w:p w14:paraId="66013775">
            <w:pPr>
              <w:rPr>
                <w:rFonts w:asciiTheme="minorEastAsia" w:hAnsiTheme="minorEastAsia" w:cstheme="minorEastAsia"/>
                <w:sz w:val="18"/>
                <w:szCs w:val="18"/>
              </w:rPr>
            </w:pPr>
            <w:r>
              <w:rPr>
                <w:rFonts w:hint="eastAsia" w:asciiTheme="minorEastAsia" w:hAnsiTheme="minorEastAsia" w:cstheme="minorEastAsia"/>
                <w:sz w:val="18"/>
                <w:szCs w:val="18"/>
              </w:rPr>
              <w:t>□诊断推理：包括鉴别诊断以及其他的诊断</w:t>
            </w:r>
          </w:p>
          <w:p w14:paraId="20472369">
            <w:pPr>
              <w:rPr>
                <w:rFonts w:asciiTheme="minorEastAsia" w:hAnsiTheme="minorEastAsia" w:cstheme="minorEastAsia"/>
                <w:b/>
                <w:sz w:val="18"/>
                <w:szCs w:val="18"/>
              </w:rPr>
            </w:pPr>
            <w:r>
              <w:rPr>
                <w:rFonts w:hint="eastAsia" w:asciiTheme="minorEastAsia" w:hAnsiTheme="minorEastAsia" w:cstheme="minorEastAsia"/>
                <w:b/>
                <w:sz w:val="18"/>
                <w:szCs w:val="18"/>
              </w:rPr>
              <w:t>1</w:t>
            </w:r>
            <w:r>
              <w:rPr>
                <w:rFonts w:asciiTheme="minorEastAsia" w:hAnsiTheme="minorEastAsia" w:cstheme="minorEastAsia"/>
                <w:b/>
                <w:sz w:val="18"/>
                <w:szCs w:val="18"/>
              </w:rPr>
              <w:t>.3.3</w:t>
            </w:r>
            <w:r>
              <w:rPr>
                <w:rFonts w:hint="eastAsia" w:asciiTheme="minorEastAsia" w:hAnsiTheme="minorEastAsia" w:cstheme="minorEastAsia"/>
                <w:b/>
                <w:sz w:val="18"/>
                <w:szCs w:val="18"/>
              </w:rPr>
              <w:t xml:space="preserve">问题的轻重程度及预后判断    </w:t>
            </w:r>
          </w:p>
          <w:p w14:paraId="6362AE05">
            <w:pPr>
              <w:rPr>
                <w:rFonts w:asciiTheme="minorEastAsia" w:hAnsiTheme="minorEastAsia" w:cstheme="minorEastAsia"/>
                <w:sz w:val="18"/>
                <w:szCs w:val="18"/>
              </w:rPr>
            </w:pPr>
            <w:r>
              <w:rPr>
                <w:rFonts w:hint="eastAsia" w:asciiTheme="minorEastAsia" w:hAnsiTheme="minorEastAsia" w:cstheme="minorEastAsia"/>
                <w:sz w:val="18"/>
                <w:szCs w:val="18"/>
              </w:rPr>
              <w:t>□相关预后的判别与特征（如适用）</w:t>
            </w:r>
          </w:p>
          <w:p w14:paraId="5C34114C">
            <w:pPr>
              <w:rPr>
                <w:rFonts w:asciiTheme="minorEastAsia" w:hAnsiTheme="minorEastAsia" w:cstheme="minorEastAsia"/>
                <w:b/>
                <w:sz w:val="18"/>
                <w:szCs w:val="18"/>
              </w:rPr>
            </w:pPr>
            <w:r>
              <w:rPr>
                <w:rFonts w:hint="eastAsia" w:asciiTheme="minorEastAsia" w:hAnsiTheme="minorEastAsia" w:cstheme="minorEastAsia"/>
                <w:b/>
                <w:sz w:val="18"/>
                <w:szCs w:val="18"/>
              </w:rPr>
              <w:t>1</w:t>
            </w:r>
            <w:r>
              <w:rPr>
                <w:rFonts w:asciiTheme="minorEastAsia" w:hAnsiTheme="minorEastAsia" w:cstheme="minorEastAsia"/>
                <w:b/>
                <w:sz w:val="18"/>
                <w:szCs w:val="18"/>
              </w:rPr>
              <w:t>.3.4</w:t>
            </w:r>
            <w:r>
              <w:rPr>
                <w:rFonts w:hint="eastAsia" w:asciiTheme="minorEastAsia" w:hAnsiTheme="minorEastAsia" w:cstheme="minorEastAsia"/>
                <w:b/>
                <w:sz w:val="18"/>
                <w:szCs w:val="18"/>
              </w:rPr>
              <w:t xml:space="preserve">应急处理流程  </w:t>
            </w:r>
          </w:p>
          <w:p w14:paraId="5724F8D3">
            <w:pPr>
              <w:rPr>
                <w:rFonts w:asciiTheme="minorEastAsia" w:hAnsiTheme="minorEastAsia" w:cstheme="minorEastAsia"/>
                <w:sz w:val="18"/>
                <w:szCs w:val="18"/>
              </w:rPr>
            </w:pPr>
            <w:r>
              <w:rPr>
                <w:rFonts w:hint="eastAsia" w:asciiTheme="minorEastAsia" w:hAnsiTheme="minorEastAsia" w:cstheme="minorEastAsia"/>
                <w:sz w:val="18"/>
                <w:szCs w:val="18"/>
              </w:rPr>
              <w:t xml:space="preserve">□应急处理流程（附流程图/图片）  </w:t>
            </w:r>
          </w:p>
        </w:tc>
        <w:tc>
          <w:tcPr>
            <w:tcW w:w="4110" w:type="dxa"/>
          </w:tcPr>
          <w:p w14:paraId="2B1AC9F5">
            <w:pPr>
              <w:jc w:val="left"/>
              <w:rPr>
                <w:rFonts w:asciiTheme="minorEastAsia" w:hAnsiTheme="minorEastAsia" w:cstheme="minorEastAsia"/>
                <w:sz w:val="18"/>
                <w:szCs w:val="18"/>
              </w:rPr>
            </w:pPr>
            <w:r>
              <w:rPr>
                <w:rFonts w:hint="eastAsia" w:asciiTheme="minorEastAsia" w:hAnsiTheme="minorEastAsia" w:cstheme="minorEastAsia"/>
                <w:sz w:val="18"/>
                <w:szCs w:val="18"/>
              </w:rPr>
              <w:t>必填，不超过400字，详细说明诊断依据和鉴别诊断过程，体现诊断过程中针对难点的解决之道，通过科学性和逻辑性体现诊断技术水平。</w:t>
            </w:r>
          </w:p>
        </w:tc>
      </w:tr>
      <w:tr w14:paraId="23B1A5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6" w:hRule="atLeast"/>
        </w:trPr>
        <w:tc>
          <w:tcPr>
            <w:tcW w:w="1129" w:type="dxa"/>
            <w:vAlign w:val="center"/>
          </w:tcPr>
          <w:p w14:paraId="49BC2464">
            <w:pPr>
              <w:jc w:val="center"/>
              <w:rPr>
                <w:rFonts w:asciiTheme="minorEastAsia" w:hAnsiTheme="minorEastAsia" w:cstheme="minorEastAsia"/>
                <w:b/>
                <w:bCs/>
                <w:sz w:val="18"/>
                <w:szCs w:val="18"/>
              </w:rPr>
            </w:pPr>
            <w:r>
              <w:rPr>
                <w:rFonts w:asciiTheme="minorEastAsia" w:hAnsiTheme="minorEastAsia" w:cstheme="minorEastAsia"/>
                <w:b/>
                <w:bCs/>
                <w:sz w:val="18"/>
                <w:szCs w:val="18"/>
              </w:rPr>
              <w:t xml:space="preserve">1.4 </w:t>
            </w:r>
          </w:p>
          <w:p w14:paraId="545971B3">
            <w:pPr>
              <w:jc w:val="center"/>
              <w:rPr>
                <w:rFonts w:asciiTheme="minorEastAsia" w:hAnsiTheme="minorEastAsia" w:cstheme="minorEastAsia"/>
                <w:b/>
                <w:bCs/>
                <w:sz w:val="18"/>
                <w:szCs w:val="18"/>
              </w:rPr>
            </w:pPr>
            <w:r>
              <w:rPr>
                <w:rFonts w:hint="eastAsia" w:asciiTheme="minorEastAsia" w:hAnsiTheme="minorEastAsia" w:cstheme="minorEastAsia"/>
                <w:b/>
                <w:bCs/>
                <w:sz w:val="18"/>
                <w:szCs w:val="18"/>
              </w:rPr>
              <w:t xml:space="preserve">P  （Plan    对问题的处理计划）     </w:t>
            </w:r>
          </w:p>
        </w:tc>
        <w:tc>
          <w:tcPr>
            <w:tcW w:w="4962" w:type="dxa"/>
          </w:tcPr>
          <w:p w14:paraId="56170A32">
            <w:pPr>
              <w:rPr>
                <w:rFonts w:asciiTheme="minorEastAsia" w:hAnsiTheme="minorEastAsia" w:cstheme="minorEastAsia"/>
                <w:sz w:val="18"/>
                <w:szCs w:val="18"/>
              </w:rPr>
            </w:pPr>
            <w:r>
              <w:rPr>
                <w:rFonts w:hint="eastAsia" w:asciiTheme="minorEastAsia" w:hAnsiTheme="minorEastAsia" w:cstheme="minorEastAsia"/>
                <w:sz w:val="18"/>
                <w:szCs w:val="18"/>
              </w:rPr>
              <w:t>□检查计划</w:t>
            </w:r>
          </w:p>
          <w:p w14:paraId="675DEA01">
            <w:pPr>
              <w:rPr>
                <w:rFonts w:asciiTheme="minorEastAsia" w:hAnsiTheme="minorEastAsia" w:cstheme="minorEastAsia"/>
                <w:sz w:val="18"/>
                <w:szCs w:val="18"/>
              </w:rPr>
            </w:pPr>
            <w:r>
              <w:rPr>
                <w:rFonts w:hint="eastAsia" w:asciiTheme="minorEastAsia" w:hAnsiTheme="minorEastAsia" w:cstheme="minorEastAsia"/>
                <w:sz w:val="18"/>
                <w:szCs w:val="18"/>
              </w:rPr>
              <w:t>□治疗计划，包括</w:t>
            </w:r>
            <w:r>
              <w:rPr>
                <w:rFonts w:asciiTheme="minorEastAsia" w:hAnsiTheme="minorEastAsia" w:cstheme="minorEastAsia"/>
                <w:sz w:val="18"/>
                <w:szCs w:val="18"/>
              </w:rPr>
              <w:t>药物治疗</w:t>
            </w:r>
            <w:r>
              <w:rPr>
                <w:rFonts w:hint="eastAsia" w:asciiTheme="minorEastAsia" w:hAnsiTheme="minorEastAsia" w:cstheme="minorEastAsia"/>
                <w:sz w:val="18"/>
                <w:szCs w:val="18"/>
              </w:rPr>
              <w:t>和</w:t>
            </w:r>
            <w:r>
              <w:rPr>
                <w:rFonts w:asciiTheme="minorEastAsia" w:hAnsiTheme="minorEastAsia" w:cstheme="minorEastAsia"/>
                <w:sz w:val="18"/>
                <w:szCs w:val="18"/>
              </w:rPr>
              <w:t>非药物治疗</w:t>
            </w:r>
          </w:p>
          <w:p w14:paraId="14B17226">
            <w:pPr>
              <w:rPr>
                <w:rFonts w:asciiTheme="minorEastAsia" w:hAnsiTheme="minorEastAsia" w:cstheme="minorEastAsia"/>
                <w:sz w:val="18"/>
                <w:szCs w:val="18"/>
              </w:rPr>
            </w:pPr>
            <w:r>
              <w:rPr>
                <w:rFonts w:hint="eastAsia" w:asciiTheme="minorEastAsia" w:hAnsiTheme="minorEastAsia" w:cstheme="minorEastAsia"/>
                <w:sz w:val="18"/>
                <w:szCs w:val="18"/>
              </w:rPr>
              <w:t>□转诊标准</w:t>
            </w:r>
          </w:p>
          <w:p w14:paraId="02B11E21">
            <w:pPr>
              <w:rPr>
                <w:rFonts w:asciiTheme="minorEastAsia" w:hAnsiTheme="minorEastAsia" w:cstheme="minorEastAsia"/>
                <w:sz w:val="18"/>
                <w:szCs w:val="18"/>
              </w:rPr>
            </w:pPr>
          </w:p>
        </w:tc>
        <w:tc>
          <w:tcPr>
            <w:tcW w:w="4110" w:type="dxa"/>
          </w:tcPr>
          <w:p w14:paraId="628C889F">
            <w:pPr>
              <w:jc w:val="left"/>
              <w:rPr>
                <w:rFonts w:asciiTheme="minorEastAsia" w:hAnsiTheme="minorEastAsia" w:cstheme="minorEastAsia"/>
                <w:sz w:val="18"/>
                <w:szCs w:val="18"/>
              </w:rPr>
            </w:pPr>
            <w:r>
              <w:rPr>
                <w:rFonts w:hint="eastAsia" w:asciiTheme="minorEastAsia" w:hAnsiTheme="minorEastAsia" w:cstheme="minorEastAsia"/>
                <w:sz w:val="18"/>
                <w:szCs w:val="18"/>
              </w:rPr>
              <w:t>必填，不超过400字。详细说明治疗的合理性/先进性和有效性，体现诊疗过程中针对难点的解决之道，通过科学性和逻辑性体现治疗技术水平。</w:t>
            </w:r>
          </w:p>
        </w:tc>
      </w:tr>
      <w:tr w14:paraId="444473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10201" w:type="dxa"/>
            <w:gridSpan w:val="3"/>
            <w:vAlign w:val="center"/>
          </w:tcPr>
          <w:p w14:paraId="7258A79E">
            <w:pPr>
              <w:jc w:val="center"/>
              <w:rPr>
                <w:rFonts w:asciiTheme="minorEastAsia" w:hAnsiTheme="minorEastAsia" w:cstheme="minorEastAsia"/>
                <w:b/>
                <w:sz w:val="18"/>
                <w:szCs w:val="18"/>
              </w:rPr>
            </w:pPr>
            <w:r>
              <w:rPr>
                <w:rFonts w:hint="eastAsia" w:asciiTheme="minorEastAsia" w:hAnsiTheme="minorEastAsia" w:cstheme="minorEastAsia"/>
                <w:b/>
                <w:sz w:val="18"/>
                <w:szCs w:val="18"/>
              </w:rPr>
              <w:t>2</w:t>
            </w:r>
            <w:r>
              <w:rPr>
                <w:rFonts w:asciiTheme="minorEastAsia" w:hAnsiTheme="minorEastAsia" w:cstheme="minorEastAsia"/>
                <w:b/>
                <w:sz w:val="18"/>
                <w:szCs w:val="18"/>
              </w:rPr>
              <w:t>.</w:t>
            </w:r>
            <w:r>
              <w:rPr>
                <w:rFonts w:hint="eastAsia" w:asciiTheme="minorEastAsia" w:hAnsiTheme="minorEastAsia" w:cstheme="minorEastAsia"/>
                <w:b/>
                <w:sz w:val="18"/>
                <w:szCs w:val="18"/>
              </w:rPr>
              <w:t>急症的判断及依据</w:t>
            </w:r>
          </w:p>
        </w:tc>
      </w:tr>
      <w:tr w14:paraId="1BDB81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2" w:hRule="atLeast"/>
        </w:trPr>
        <w:tc>
          <w:tcPr>
            <w:tcW w:w="1129" w:type="dxa"/>
            <w:vAlign w:val="center"/>
          </w:tcPr>
          <w:p w14:paraId="126949F0">
            <w:pPr>
              <w:jc w:val="center"/>
              <w:rPr>
                <w:rFonts w:asciiTheme="minorEastAsia" w:hAnsiTheme="minorEastAsia" w:cstheme="minorEastAsia"/>
                <w:b/>
                <w:bCs/>
                <w:sz w:val="18"/>
                <w:szCs w:val="18"/>
              </w:rPr>
            </w:pPr>
            <w:r>
              <w:rPr>
                <w:rFonts w:hint="eastAsia" w:asciiTheme="minorEastAsia" w:hAnsiTheme="minorEastAsia" w:cstheme="minorEastAsia"/>
                <w:b/>
                <w:sz w:val="18"/>
                <w:szCs w:val="18"/>
              </w:rPr>
              <w:t>2急症的判断及依据</w:t>
            </w:r>
          </w:p>
        </w:tc>
        <w:tc>
          <w:tcPr>
            <w:tcW w:w="4962" w:type="dxa"/>
          </w:tcPr>
          <w:p w14:paraId="15E85C53">
            <w:pPr>
              <w:rPr>
                <w:rFonts w:asciiTheme="minorEastAsia" w:hAnsiTheme="minorEastAsia" w:cstheme="minorEastAsia"/>
                <w:sz w:val="18"/>
                <w:szCs w:val="18"/>
              </w:rPr>
            </w:pPr>
            <w:r>
              <w:rPr>
                <w:rFonts w:hint="eastAsia" w:asciiTheme="minorEastAsia" w:hAnsiTheme="minorEastAsia" w:cstheme="minorEastAsia"/>
                <w:sz w:val="18"/>
                <w:szCs w:val="18"/>
              </w:rPr>
              <w:t>□急症的判断及依据</w:t>
            </w:r>
          </w:p>
          <w:p w14:paraId="5D31158C">
            <w:pPr>
              <w:rPr>
                <w:rFonts w:asciiTheme="minorEastAsia" w:hAnsiTheme="minorEastAsia" w:cstheme="minorEastAsia"/>
                <w:sz w:val="18"/>
                <w:szCs w:val="18"/>
              </w:rPr>
            </w:pPr>
            <w:r>
              <w:rPr>
                <w:rFonts w:hint="eastAsia" w:asciiTheme="minorEastAsia" w:hAnsiTheme="minorEastAsia" w:cstheme="minorEastAsia"/>
                <w:sz w:val="18"/>
                <w:szCs w:val="18"/>
              </w:rPr>
              <w:t>□急救过程</w:t>
            </w:r>
          </w:p>
        </w:tc>
        <w:tc>
          <w:tcPr>
            <w:tcW w:w="4110" w:type="dxa"/>
          </w:tcPr>
          <w:p w14:paraId="732FFE77">
            <w:pPr>
              <w:jc w:val="left"/>
              <w:rPr>
                <w:rFonts w:asciiTheme="minorEastAsia" w:hAnsiTheme="minorEastAsia" w:cstheme="minorEastAsia"/>
                <w:sz w:val="18"/>
                <w:szCs w:val="18"/>
              </w:rPr>
            </w:pPr>
            <w:r>
              <w:rPr>
                <w:rFonts w:hint="eastAsia" w:asciiTheme="minorEastAsia" w:hAnsiTheme="minorEastAsia" w:cstheme="minorEastAsia"/>
                <w:sz w:val="18"/>
                <w:szCs w:val="18"/>
              </w:rPr>
              <w:t>必填，不超过300字，可逐层进行分析；依据可引用教材、指南、专家共识等，简要写出相应的病理变化。</w:t>
            </w:r>
          </w:p>
        </w:tc>
      </w:tr>
      <w:tr w14:paraId="173973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9" w:hRule="atLeast"/>
        </w:trPr>
        <w:tc>
          <w:tcPr>
            <w:tcW w:w="10201" w:type="dxa"/>
            <w:gridSpan w:val="3"/>
            <w:vAlign w:val="center"/>
          </w:tcPr>
          <w:p w14:paraId="42B4C24C">
            <w:pPr>
              <w:jc w:val="center"/>
              <w:rPr>
                <w:rFonts w:asciiTheme="minorEastAsia" w:hAnsiTheme="minorEastAsia" w:cstheme="minorEastAsia"/>
                <w:b/>
                <w:sz w:val="18"/>
                <w:szCs w:val="18"/>
              </w:rPr>
            </w:pPr>
            <w:r>
              <w:rPr>
                <w:rFonts w:hint="eastAsia" w:asciiTheme="minorEastAsia" w:hAnsiTheme="minorEastAsia" w:cstheme="minorEastAsia"/>
                <w:b/>
                <w:sz w:val="18"/>
                <w:szCs w:val="18"/>
              </w:rPr>
              <w:t>3</w:t>
            </w:r>
            <w:r>
              <w:rPr>
                <w:rFonts w:asciiTheme="minorEastAsia" w:hAnsiTheme="minorEastAsia" w:cstheme="minorEastAsia"/>
                <w:b/>
                <w:sz w:val="18"/>
                <w:szCs w:val="18"/>
              </w:rPr>
              <w:t>.</w:t>
            </w:r>
            <w:r>
              <w:rPr>
                <w:rFonts w:hint="eastAsia" w:asciiTheme="minorEastAsia" w:hAnsiTheme="minorEastAsia" w:cstheme="minorEastAsia"/>
                <w:b/>
                <w:sz w:val="18"/>
                <w:szCs w:val="18"/>
              </w:rPr>
              <w:t>随访记录</w:t>
            </w:r>
          </w:p>
        </w:tc>
      </w:tr>
      <w:tr w14:paraId="76E612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22" w:hRule="atLeast"/>
        </w:trPr>
        <w:tc>
          <w:tcPr>
            <w:tcW w:w="1129" w:type="dxa"/>
            <w:vAlign w:val="center"/>
          </w:tcPr>
          <w:p w14:paraId="506D755B">
            <w:pPr>
              <w:rPr>
                <w:rFonts w:asciiTheme="minorEastAsia" w:hAnsiTheme="minorEastAsia" w:cstheme="minorEastAsia"/>
                <w:b/>
                <w:bCs/>
                <w:sz w:val="18"/>
                <w:szCs w:val="18"/>
              </w:rPr>
            </w:pPr>
            <w:r>
              <w:rPr>
                <w:rFonts w:hint="eastAsia" w:asciiTheme="minorEastAsia" w:hAnsiTheme="minorEastAsia" w:cstheme="minorEastAsia"/>
                <w:b/>
                <w:bCs/>
                <w:sz w:val="18"/>
                <w:szCs w:val="18"/>
              </w:rPr>
              <w:t xml:space="preserve">3随访记录   </w:t>
            </w:r>
          </w:p>
        </w:tc>
        <w:tc>
          <w:tcPr>
            <w:tcW w:w="4962" w:type="dxa"/>
          </w:tcPr>
          <w:p w14:paraId="4E0E8066">
            <w:pPr>
              <w:rPr>
                <w:rFonts w:asciiTheme="minorEastAsia" w:hAnsiTheme="minorEastAsia" w:cstheme="minorEastAsia"/>
                <w:sz w:val="18"/>
                <w:szCs w:val="18"/>
              </w:rPr>
            </w:pPr>
            <w:r>
              <w:rPr>
                <w:rFonts w:hint="eastAsia" w:asciiTheme="minorEastAsia" w:hAnsiTheme="minorEastAsia" w:cstheme="minorEastAsia"/>
                <w:sz w:val="18"/>
                <w:szCs w:val="18"/>
              </w:rPr>
              <w:t>□随访时间</w:t>
            </w:r>
          </w:p>
          <w:p w14:paraId="49BD0D47">
            <w:pPr>
              <w:rPr>
                <w:rFonts w:asciiTheme="minorEastAsia" w:hAnsiTheme="minorEastAsia" w:cstheme="minorEastAsia"/>
                <w:sz w:val="18"/>
                <w:szCs w:val="18"/>
              </w:rPr>
            </w:pPr>
            <w:r>
              <w:rPr>
                <w:rFonts w:hint="eastAsia" w:asciiTheme="minorEastAsia" w:hAnsiTheme="minorEastAsia" w:cstheme="minorEastAsia"/>
                <w:sz w:val="18"/>
                <w:szCs w:val="18"/>
              </w:rPr>
              <w:t>□不良反应和意外事件</w:t>
            </w:r>
          </w:p>
          <w:p w14:paraId="46E3CEB7">
            <w:pPr>
              <w:rPr>
                <w:rFonts w:asciiTheme="minorEastAsia" w:hAnsiTheme="minorEastAsia" w:cstheme="minorEastAsia"/>
                <w:sz w:val="18"/>
                <w:szCs w:val="18"/>
              </w:rPr>
            </w:pPr>
            <w:r>
              <w:rPr>
                <w:rFonts w:hint="eastAsia" w:asciiTheme="minorEastAsia" w:hAnsiTheme="minorEastAsia" w:cstheme="minorEastAsia"/>
                <w:sz w:val="18"/>
                <w:szCs w:val="18"/>
              </w:rPr>
              <w:t>□重要的随访结果、化验检查数据等</w:t>
            </w:r>
          </w:p>
          <w:p w14:paraId="2E0CCD89">
            <w:pPr>
              <w:rPr>
                <w:rFonts w:asciiTheme="minorEastAsia" w:hAnsiTheme="minorEastAsia" w:cstheme="minorEastAsia"/>
                <w:sz w:val="18"/>
                <w:szCs w:val="18"/>
              </w:rPr>
            </w:pPr>
            <w:r>
              <w:rPr>
                <w:rFonts w:hint="eastAsia" w:asciiTheme="minorEastAsia" w:hAnsiTheme="minorEastAsia" w:cstheme="minorEastAsia"/>
                <w:sz w:val="18"/>
                <w:szCs w:val="18"/>
              </w:rPr>
              <w:t>□患者转归</w:t>
            </w:r>
          </w:p>
          <w:p w14:paraId="69F610B1">
            <w:pPr>
              <w:rPr>
                <w:rFonts w:asciiTheme="minorEastAsia" w:hAnsiTheme="minorEastAsia" w:cstheme="minorEastAsia"/>
                <w:sz w:val="18"/>
                <w:szCs w:val="18"/>
              </w:rPr>
            </w:pPr>
          </w:p>
        </w:tc>
        <w:tc>
          <w:tcPr>
            <w:tcW w:w="4110" w:type="dxa"/>
          </w:tcPr>
          <w:p w14:paraId="42B65DCA">
            <w:pPr>
              <w:ind w:right="-4"/>
              <w:jc w:val="left"/>
              <w:rPr>
                <w:rFonts w:asciiTheme="minorEastAsia" w:hAnsiTheme="minorEastAsia" w:cstheme="minorEastAsia"/>
                <w:sz w:val="18"/>
                <w:szCs w:val="18"/>
              </w:rPr>
            </w:pPr>
            <w:r>
              <w:rPr>
                <w:rFonts w:hint="eastAsia" w:asciiTheme="minorEastAsia" w:hAnsiTheme="minorEastAsia" w:cstheme="minorEastAsia"/>
                <w:sz w:val="18"/>
                <w:szCs w:val="18"/>
              </w:rPr>
              <w:t>必填，不超过300字，可以图表辅助。清晰说明治疗结果和患者后续情况，提供长期观察数据。</w:t>
            </w:r>
          </w:p>
        </w:tc>
      </w:tr>
      <w:tr w14:paraId="102759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7" w:hRule="atLeast"/>
        </w:trPr>
        <w:tc>
          <w:tcPr>
            <w:tcW w:w="10201" w:type="dxa"/>
            <w:gridSpan w:val="3"/>
            <w:vAlign w:val="center"/>
          </w:tcPr>
          <w:p w14:paraId="1708754C">
            <w:pPr>
              <w:jc w:val="center"/>
              <w:rPr>
                <w:rFonts w:asciiTheme="minorEastAsia" w:hAnsiTheme="minorEastAsia" w:cstheme="minorEastAsia"/>
                <w:b/>
                <w:sz w:val="18"/>
                <w:szCs w:val="18"/>
              </w:rPr>
            </w:pPr>
            <w:r>
              <w:rPr>
                <w:rFonts w:asciiTheme="minorEastAsia" w:hAnsiTheme="minorEastAsia" w:cstheme="minorEastAsia"/>
                <w:b/>
                <w:sz w:val="18"/>
                <w:szCs w:val="18"/>
              </w:rPr>
              <w:t>4.</w:t>
            </w:r>
            <w:r>
              <w:rPr>
                <w:rFonts w:hint="eastAsia" w:asciiTheme="minorEastAsia" w:hAnsiTheme="minorEastAsia" w:cstheme="minorEastAsia"/>
                <w:b/>
                <w:sz w:val="18"/>
                <w:szCs w:val="18"/>
              </w:rPr>
              <w:t>讨论</w:t>
            </w:r>
          </w:p>
        </w:tc>
      </w:tr>
      <w:tr w14:paraId="014808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8" w:hRule="atLeast"/>
        </w:trPr>
        <w:tc>
          <w:tcPr>
            <w:tcW w:w="1129" w:type="dxa"/>
            <w:vAlign w:val="center"/>
          </w:tcPr>
          <w:p w14:paraId="077C5544">
            <w:pPr>
              <w:rPr>
                <w:rFonts w:asciiTheme="minorEastAsia" w:hAnsiTheme="minorEastAsia" w:cstheme="minorEastAsia"/>
                <w:b/>
                <w:bCs/>
                <w:sz w:val="18"/>
                <w:szCs w:val="18"/>
              </w:rPr>
            </w:pPr>
            <w:r>
              <w:rPr>
                <w:rFonts w:asciiTheme="minorEastAsia" w:hAnsiTheme="minorEastAsia" w:cstheme="minorEastAsia"/>
                <w:b/>
                <w:bCs/>
                <w:sz w:val="18"/>
                <w:szCs w:val="18"/>
              </w:rPr>
              <w:t>4.1</w:t>
            </w:r>
            <w:r>
              <w:rPr>
                <w:rFonts w:hint="eastAsia" w:asciiTheme="minorEastAsia" w:hAnsiTheme="minorEastAsia" w:cstheme="minorEastAsia"/>
                <w:b/>
                <w:bCs/>
                <w:sz w:val="18"/>
                <w:szCs w:val="18"/>
              </w:rPr>
              <w:t>讨论</w:t>
            </w:r>
          </w:p>
        </w:tc>
        <w:tc>
          <w:tcPr>
            <w:tcW w:w="4962" w:type="dxa"/>
          </w:tcPr>
          <w:p w14:paraId="30E81228">
            <w:pPr>
              <w:rPr>
                <w:rFonts w:asciiTheme="minorEastAsia" w:hAnsiTheme="minorEastAsia" w:cstheme="minorEastAsia"/>
                <w:sz w:val="18"/>
                <w:szCs w:val="18"/>
              </w:rPr>
            </w:pPr>
            <w:r>
              <w:rPr>
                <w:rFonts w:hint="eastAsia" w:asciiTheme="minorEastAsia" w:hAnsiTheme="minorEastAsia" w:cstheme="minorEastAsia"/>
                <w:sz w:val="18"/>
                <w:szCs w:val="18"/>
              </w:rPr>
              <w:t>□本病例相关的背景、理论、标准、指南、现状与进展的描述，突出重点</w:t>
            </w:r>
          </w:p>
          <w:p w14:paraId="4FAA8EDB">
            <w:pPr>
              <w:rPr>
                <w:rFonts w:asciiTheme="minorEastAsia" w:hAnsiTheme="minorEastAsia" w:cstheme="minorEastAsia"/>
                <w:sz w:val="18"/>
                <w:szCs w:val="18"/>
              </w:rPr>
            </w:pPr>
            <w:r>
              <w:rPr>
                <w:rFonts w:hint="eastAsia" w:asciiTheme="minorEastAsia" w:hAnsiTheme="minorEastAsia" w:cstheme="minorEastAsia"/>
                <w:sz w:val="18"/>
                <w:szCs w:val="18"/>
              </w:rPr>
              <w:t>□本病例的优势和局限性</w:t>
            </w:r>
          </w:p>
          <w:p w14:paraId="1801A871">
            <w:pPr>
              <w:rPr>
                <w:rFonts w:asciiTheme="minorEastAsia" w:hAnsiTheme="minorEastAsia" w:cstheme="minorEastAsia"/>
                <w:sz w:val="18"/>
                <w:szCs w:val="18"/>
              </w:rPr>
            </w:pPr>
            <w:r>
              <w:rPr>
                <w:rFonts w:hint="eastAsia" w:asciiTheme="minorEastAsia" w:hAnsiTheme="minorEastAsia" w:cstheme="minorEastAsia"/>
                <w:sz w:val="18"/>
                <w:szCs w:val="18"/>
              </w:rPr>
              <w:t>□对照类似已发表的案例相关文献，找出差异点进行讨论</w:t>
            </w:r>
          </w:p>
          <w:p w14:paraId="418F4345">
            <w:pPr>
              <w:rPr>
                <w:rFonts w:asciiTheme="minorEastAsia" w:hAnsiTheme="minorEastAsia" w:cstheme="minorEastAsia"/>
                <w:sz w:val="18"/>
                <w:szCs w:val="18"/>
              </w:rPr>
            </w:pPr>
            <w:r>
              <w:rPr>
                <w:rFonts w:hint="eastAsia" w:asciiTheme="minorEastAsia" w:hAnsiTheme="minorEastAsia" w:cstheme="minorEastAsia"/>
                <w:sz w:val="18"/>
                <w:szCs w:val="18"/>
              </w:rPr>
              <w:t>□本病例报告的价值所在，诊疗中的疑难之处及解决办法和具体过程，其作用和价值</w:t>
            </w:r>
          </w:p>
          <w:p w14:paraId="61816215">
            <w:pPr>
              <w:rPr>
                <w:rFonts w:asciiTheme="minorEastAsia" w:hAnsiTheme="minorEastAsia" w:cstheme="minorEastAsia"/>
                <w:sz w:val="18"/>
                <w:szCs w:val="18"/>
              </w:rPr>
            </w:pPr>
            <w:r>
              <w:rPr>
                <w:rFonts w:hint="eastAsia" w:asciiTheme="minorEastAsia" w:hAnsiTheme="minorEastAsia" w:cstheme="minorEastAsia"/>
                <w:sz w:val="18"/>
                <w:szCs w:val="18"/>
              </w:rPr>
              <w:t>□结论</w:t>
            </w:r>
          </w:p>
          <w:p w14:paraId="28A66FC0">
            <w:pPr>
              <w:rPr>
                <w:rFonts w:asciiTheme="minorEastAsia" w:hAnsiTheme="minorEastAsia" w:cstheme="minorEastAsia"/>
                <w:sz w:val="18"/>
                <w:szCs w:val="18"/>
              </w:rPr>
            </w:pPr>
            <w:r>
              <w:rPr>
                <w:rFonts w:hint="eastAsia" w:asciiTheme="minorEastAsia" w:hAnsiTheme="minorEastAsia" w:cstheme="minorEastAsia"/>
                <w:sz w:val="18"/>
                <w:szCs w:val="18"/>
              </w:rPr>
              <w:t>□一些可能的发展和应用，如长期随访或新的研究课题</w:t>
            </w:r>
          </w:p>
        </w:tc>
        <w:tc>
          <w:tcPr>
            <w:tcW w:w="4110" w:type="dxa"/>
          </w:tcPr>
          <w:p w14:paraId="4EF705DD">
            <w:pPr>
              <w:jc w:val="left"/>
              <w:rPr>
                <w:rFonts w:asciiTheme="minorEastAsia" w:hAnsiTheme="minorEastAsia" w:cstheme="minorEastAsia"/>
                <w:sz w:val="18"/>
                <w:szCs w:val="18"/>
              </w:rPr>
            </w:pPr>
            <w:r>
              <w:rPr>
                <w:rFonts w:hint="eastAsia" w:asciiTheme="minorEastAsia" w:hAnsiTheme="minorEastAsia" w:cstheme="minorEastAsia"/>
                <w:sz w:val="18"/>
                <w:szCs w:val="18"/>
              </w:rPr>
              <w:t>必填，实质性讨论，避免重复，</w:t>
            </w:r>
            <w:r>
              <w:rPr>
                <w:rFonts w:hint="eastAsia" w:asciiTheme="minorEastAsia" w:hAnsiTheme="minorEastAsia" w:cstheme="minorEastAsia"/>
                <w:sz w:val="18"/>
                <w:szCs w:val="18"/>
                <w:lang w:val="en-US" w:eastAsia="zh-CN"/>
              </w:rPr>
              <w:t>突出病例的难点、创新点，</w:t>
            </w:r>
            <w:r>
              <w:rPr>
                <w:rFonts w:hint="eastAsia" w:asciiTheme="minorEastAsia" w:hAnsiTheme="minorEastAsia" w:cstheme="minorEastAsia"/>
                <w:sz w:val="18"/>
                <w:szCs w:val="18"/>
              </w:rPr>
              <w:t>提供深入分析和前瞻性观点。</w:t>
            </w:r>
            <w:bookmarkStart w:id="6" w:name="_GoBack"/>
            <w:bookmarkEnd w:id="6"/>
          </w:p>
        </w:tc>
      </w:tr>
      <w:tr w14:paraId="7E8EA1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0" w:hRule="atLeast"/>
        </w:trPr>
        <w:tc>
          <w:tcPr>
            <w:tcW w:w="1129" w:type="dxa"/>
            <w:vAlign w:val="center"/>
          </w:tcPr>
          <w:p w14:paraId="467E4424">
            <w:pPr>
              <w:rPr>
                <w:rFonts w:asciiTheme="minorEastAsia" w:hAnsiTheme="minorEastAsia" w:cstheme="minorEastAsia"/>
                <w:b/>
                <w:bCs/>
                <w:sz w:val="18"/>
                <w:szCs w:val="18"/>
              </w:rPr>
            </w:pPr>
            <w:r>
              <w:rPr>
                <w:rFonts w:hint="eastAsia" w:asciiTheme="minorEastAsia" w:hAnsiTheme="minorEastAsia" w:cstheme="minorEastAsia"/>
                <w:b/>
                <w:bCs/>
                <w:sz w:val="18"/>
                <w:szCs w:val="18"/>
              </w:rPr>
              <w:t>4</w:t>
            </w:r>
            <w:r>
              <w:rPr>
                <w:rFonts w:asciiTheme="minorEastAsia" w:hAnsiTheme="minorEastAsia" w:cstheme="minorEastAsia"/>
                <w:b/>
                <w:bCs/>
                <w:sz w:val="18"/>
                <w:szCs w:val="18"/>
              </w:rPr>
              <w:t>.2</w:t>
            </w:r>
            <w:r>
              <w:rPr>
                <w:rFonts w:hint="eastAsia" w:asciiTheme="minorEastAsia" w:hAnsiTheme="minorEastAsia" w:cstheme="minorEastAsia"/>
                <w:b/>
                <w:bCs/>
                <w:sz w:val="18"/>
                <w:szCs w:val="18"/>
              </w:rPr>
              <w:t>参考文献</w:t>
            </w:r>
          </w:p>
        </w:tc>
        <w:tc>
          <w:tcPr>
            <w:tcW w:w="4962" w:type="dxa"/>
          </w:tcPr>
          <w:p w14:paraId="39780CF3">
            <w:pPr>
              <w:rPr>
                <w:rFonts w:asciiTheme="minorEastAsia" w:hAnsiTheme="minorEastAsia" w:cstheme="minorEastAsia"/>
                <w:sz w:val="18"/>
                <w:szCs w:val="18"/>
              </w:rPr>
            </w:pPr>
            <w:r>
              <w:rPr>
                <w:rFonts w:hint="eastAsia" w:asciiTheme="minorEastAsia" w:hAnsiTheme="minorEastAsia" w:cstheme="minorEastAsia"/>
                <w:sz w:val="18"/>
                <w:szCs w:val="18"/>
              </w:rPr>
              <w:t>□观点和来源标注参考文献，可包括著作、教材、指南、专家共识等</w:t>
            </w:r>
          </w:p>
          <w:p w14:paraId="3C76A24E">
            <w:pPr>
              <w:rPr>
                <w:rFonts w:asciiTheme="minorEastAsia" w:hAnsiTheme="minorEastAsia" w:cstheme="minorEastAsia"/>
                <w:sz w:val="18"/>
                <w:szCs w:val="18"/>
              </w:rPr>
            </w:pPr>
            <w:r>
              <w:rPr>
                <w:rFonts w:hint="eastAsia" w:asciiTheme="minorEastAsia" w:hAnsiTheme="minorEastAsia" w:cstheme="minorEastAsia"/>
                <w:sz w:val="18"/>
                <w:szCs w:val="18"/>
              </w:rPr>
              <w:t>□按照GB/T 7714-2015规范</w:t>
            </w:r>
          </w:p>
        </w:tc>
        <w:tc>
          <w:tcPr>
            <w:tcW w:w="4110" w:type="dxa"/>
          </w:tcPr>
          <w:p w14:paraId="13AF2223">
            <w:pPr>
              <w:jc w:val="left"/>
              <w:rPr>
                <w:rFonts w:asciiTheme="minorEastAsia" w:hAnsiTheme="minorEastAsia" w:cstheme="minorEastAsia"/>
                <w:sz w:val="18"/>
                <w:szCs w:val="18"/>
              </w:rPr>
            </w:pPr>
            <w:r>
              <w:rPr>
                <w:rFonts w:hint="eastAsia" w:asciiTheme="minorEastAsia" w:hAnsiTheme="minorEastAsia" w:cstheme="minorEastAsia"/>
                <w:sz w:val="18"/>
                <w:szCs w:val="18"/>
              </w:rPr>
              <w:t>选填，准确引用，体现研究的学术性和权威性。</w:t>
            </w:r>
          </w:p>
        </w:tc>
      </w:tr>
      <w:tr w14:paraId="033526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4" w:hRule="atLeast"/>
        </w:trPr>
        <w:tc>
          <w:tcPr>
            <w:tcW w:w="10201" w:type="dxa"/>
            <w:gridSpan w:val="3"/>
            <w:vAlign w:val="center"/>
          </w:tcPr>
          <w:p w14:paraId="11BE4513">
            <w:pPr>
              <w:jc w:val="center"/>
              <w:rPr>
                <w:rFonts w:asciiTheme="minorEastAsia" w:hAnsiTheme="minorEastAsia" w:cstheme="minorEastAsia"/>
                <w:b/>
                <w:sz w:val="18"/>
                <w:szCs w:val="18"/>
              </w:rPr>
            </w:pPr>
            <w:r>
              <w:rPr>
                <w:rFonts w:asciiTheme="minorEastAsia" w:hAnsiTheme="minorEastAsia" w:cstheme="minorEastAsia"/>
                <w:b/>
                <w:sz w:val="18"/>
                <w:szCs w:val="18"/>
              </w:rPr>
              <w:t>5.</w:t>
            </w:r>
            <w:r>
              <w:rPr>
                <w:rFonts w:hint="eastAsia" w:asciiTheme="minorEastAsia" w:hAnsiTheme="minorEastAsia" w:cstheme="minorEastAsia"/>
                <w:b/>
                <w:sz w:val="18"/>
                <w:szCs w:val="18"/>
              </w:rPr>
              <w:t>附加材料</w:t>
            </w:r>
          </w:p>
        </w:tc>
      </w:tr>
      <w:tr w14:paraId="5B69FA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6" w:hRule="atLeast"/>
        </w:trPr>
        <w:tc>
          <w:tcPr>
            <w:tcW w:w="1129" w:type="dxa"/>
            <w:vAlign w:val="center"/>
          </w:tcPr>
          <w:p w14:paraId="381E1B2E">
            <w:pPr>
              <w:jc w:val="center"/>
              <w:rPr>
                <w:rFonts w:asciiTheme="minorEastAsia" w:hAnsiTheme="minorEastAsia" w:cstheme="minorEastAsia"/>
                <w:b/>
                <w:bCs/>
                <w:sz w:val="18"/>
                <w:szCs w:val="18"/>
              </w:rPr>
            </w:pPr>
            <w:r>
              <w:rPr>
                <w:rFonts w:asciiTheme="minorEastAsia" w:hAnsiTheme="minorEastAsia" w:cstheme="minorEastAsia"/>
                <w:b/>
                <w:bCs/>
                <w:sz w:val="18"/>
                <w:szCs w:val="18"/>
              </w:rPr>
              <w:t>5</w:t>
            </w:r>
            <w:r>
              <w:rPr>
                <w:rFonts w:hint="eastAsia" w:asciiTheme="minorEastAsia" w:hAnsiTheme="minorEastAsia" w:cstheme="minorEastAsia"/>
                <w:b/>
                <w:bCs/>
                <w:sz w:val="18"/>
                <w:szCs w:val="18"/>
              </w:rPr>
              <w:t>附加材料</w:t>
            </w:r>
          </w:p>
        </w:tc>
        <w:tc>
          <w:tcPr>
            <w:tcW w:w="4962" w:type="dxa"/>
          </w:tcPr>
          <w:p w14:paraId="5F23E76E">
            <w:pPr>
              <w:pStyle w:val="7"/>
              <w:widowControl/>
              <w:shd w:val="clear" w:color="auto" w:fill="FFFFFF"/>
              <w:spacing w:beforeAutospacing="0" w:afterAutospacing="0"/>
              <w:rPr>
                <w:rFonts w:asciiTheme="minorEastAsia" w:hAnsiTheme="minorEastAsia" w:cstheme="minorEastAsia"/>
                <w:kern w:val="2"/>
                <w:sz w:val="18"/>
                <w:szCs w:val="18"/>
              </w:rPr>
            </w:pPr>
            <w:r>
              <w:rPr>
                <w:rFonts w:hint="eastAsia" w:asciiTheme="minorEastAsia" w:hAnsiTheme="minorEastAsia" w:cstheme="minorEastAsia"/>
                <w:sz w:val="18"/>
                <w:szCs w:val="18"/>
              </w:rPr>
              <w:t>□</w:t>
            </w:r>
            <w:r>
              <w:rPr>
                <w:rFonts w:hint="eastAsia" w:asciiTheme="minorEastAsia" w:hAnsiTheme="minorEastAsia" w:cstheme="minorEastAsia"/>
                <w:kern w:val="2"/>
                <w:sz w:val="18"/>
                <w:szCs w:val="18"/>
              </w:rPr>
              <w:t>病案首页/门诊病历</w:t>
            </w:r>
          </w:p>
          <w:p w14:paraId="3073875E">
            <w:pPr>
              <w:pStyle w:val="7"/>
              <w:widowControl/>
              <w:shd w:val="clear" w:color="auto" w:fill="FFFFFF"/>
              <w:spacing w:beforeAutospacing="0" w:afterAutospacing="0"/>
              <w:rPr>
                <w:rFonts w:asciiTheme="minorEastAsia" w:hAnsiTheme="minorEastAsia" w:cstheme="minorEastAsia"/>
                <w:kern w:val="2"/>
                <w:sz w:val="18"/>
                <w:szCs w:val="18"/>
              </w:rPr>
            </w:pPr>
            <w:r>
              <w:rPr>
                <w:rFonts w:hint="eastAsia" w:asciiTheme="minorEastAsia" w:hAnsiTheme="minorEastAsia" w:cstheme="minorEastAsia"/>
                <w:sz w:val="18"/>
                <w:szCs w:val="18"/>
              </w:rPr>
              <w:t>□</w:t>
            </w:r>
            <w:r>
              <w:rPr>
                <w:rFonts w:hint="eastAsia" w:asciiTheme="minorEastAsia" w:hAnsiTheme="minorEastAsia" w:cstheme="minorEastAsia"/>
                <w:kern w:val="2"/>
                <w:sz w:val="18"/>
                <w:szCs w:val="18"/>
              </w:rPr>
              <w:t>能够反映申报人贡献的病程记录（如查房意见、病历讨论、会诊记录、手术记录等）</w:t>
            </w:r>
          </w:p>
          <w:p w14:paraId="45D8E50F">
            <w:pPr>
              <w:pStyle w:val="7"/>
              <w:widowControl/>
              <w:shd w:val="clear" w:color="auto" w:fill="FFFFFF"/>
              <w:spacing w:beforeAutospacing="0" w:afterAutospacing="0"/>
              <w:rPr>
                <w:rFonts w:asciiTheme="minorEastAsia" w:hAnsiTheme="minorEastAsia" w:cstheme="minorEastAsia"/>
                <w:sz w:val="18"/>
                <w:szCs w:val="18"/>
              </w:rPr>
            </w:pPr>
            <w:r>
              <w:rPr>
                <w:rFonts w:hint="eastAsia" w:asciiTheme="minorEastAsia" w:hAnsiTheme="minorEastAsia" w:cstheme="minorEastAsia"/>
                <w:sz w:val="18"/>
                <w:szCs w:val="18"/>
              </w:rPr>
              <w:t>□</w:t>
            </w:r>
            <w:r>
              <w:rPr>
                <w:rFonts w:hint="eastAsia" w:asciiTheme="minorEastAsia" w:hAnsiTheme="minorEastAsia" w:cstheme="minorEastAsia"/>
                <w:kern w:val="2"/>
                <w:sz w:val="18"/>
                <w:szCs w:val="18"/>
              </w:rPr>
              <w:t>支持病案报告的检查、报告等</w:t>
            </w:r>
          </w:p>
        </w:tc>
        <w:tc>
          <w:tcPr>
            <w:tcW w:w="4110" w:type="dxa"/>
          </w:tcPr>
          <w:p w14:paraId="7FA688B1">
            <w:pPr>
              <w:jc w:val="left"/>
              <w:rPr>
                <w:rFonts w:asciiTheme="minorEastAsia" w:hAnsiTheme="minorEastAsia" w:cstheme="minorEastAsia"/>
                <w:sz w:val="18"/>
                <w:szCs w:val="18"/>
              </w:rPr>
            </w:pPr>
            <w:r>
              <w:rPr>
                <w:rFonts w:hint="eastAsia" w:asciiTheme="minorEastAsia" w:hAnsiTheme="minorEastAsia" w:cstheme="minorEastAsia"/>
                <w:sz w:val="18"/>
                <w:szCs w:val="18"/>
              </w:rPr>
              <w:t>必填，病案资料扫描，注意保护患者隐私。</w:t>
            </w:r>
          </w:p>
        </w:tc>
      </w:tr>
    </w:tbl>
    <w:p w14:paraId="7CFB5CC9">
      <w:pPr>
        <w:rPr>
          <w:rFonts w:asciiTheme="minorEastAsia" w:hAnsiTheme="minorEastAsia" w:cstheme="minorEastAsia"/>
          <w:szCs w:val="21"/>
        </w:rPr>
      </w:pPr>
    </w:p>
    <w:p w14:paraId="7C7333BF">
      <w:pPr>
        <w:rPr>
          <w:rFonts w:asciiTheme="minorEastAsia" w:hAnsiTheme="minorEastAsia" w:cstheme="minorEastAsia"/>
          <w:szCs w:val="21"/>
        </w:rPr>
      </w:pPr>
    </w:p>
    <w:p w14:paraId="6F231F1F">
      <w:pPr>
        <w:rPr>
          <w:rFonts w:asciiTheme="minorEastAsia" w:hAnsiTheme="minorEastAsia" w:cstheme="minorEastAsia"/>
          <w:szCs w:val="21"/>
        </w:rPr>
      </w:pPr>
    </w:p>
    <w:p w14:paraId="166AEB1E">
      <w:pPr>
        <w:rPr>
          <w:rFonts w:asciiTheme="minorEastAsia" w:hAnsiTheme="minorEastAsia" w:cstheme="minorEastAsia"/>
          <w:szCs w:val="21"/>
        </w:rPr>
      </w:pPr>
    </w:p>
    <w:p w14:paraId="1D2A9F2E">
      <w:pPr>
        <w:rPr>
          <w:rFonts w:asciiTheme="minorEastAsia" w:hAnsiTheme="minorEastAsia" w:cstheme="minorEastAsia"/>
          <w:szCs w:val="21"/>
        </w:rPr>
      </w:pPr>
    </w:p>
    <w:p w14:paraId="35EE9A74">
      <w:pPr>
        <w:rPr>
          <w:rFonts w:asciiTheme="minorEastAsia" w:hAnsiTheme="minorEastAsia" w:cstheme="minorEastAsia"/>
          <w:szCs w:val="21"/>
        </w:rPr>
      </w:pPr>
    </w:p>
    <w:p w14:paraId="6A8537D7">
      <w:pPr>
        <w:rPr>
          <w:rFonts w:asciiTheme="minorEastAsia" w:hAnsiTheme="minorEastAsia" w:cstheme="minorEastAsia"/>
          <w:szCs w:val="21"/>
        </w:rPr>
      </w:pPr>
    </w:p>
    <w:p w14:paraId="7439C67F">
      <w:pPr>
        <w:rPr>
          <w:rFonts w:asciiTheme="minorEastAsia" w:hAnsiTheme="minorEastAsia" w:cstheme="minorEastAsia"/>
          <w:szCs w:val="21"/>
        </w:rPr>
      </w:pPr>
    </w:p>
    <w:p w14:paraId="52855A89">
      <w:pPr>
        <w:rPr>
          <w:rFonts w:asciiTheme="minorEastAsia" w:hAnsiTheme="minorEastAsia" w:cstheme="minorEastAsia"/>
          <w:szCs w:val="21"/>
        </w:rPr>
      </w:pPr>
    </w:p>
    <w:p w14:paraId="016CE55F">
      <w:pPr>
        <w:rPr>
          <w:rFonts w:asciiTheme="minorEastAsia" w:hAnsiTheme="minorEastAsia" w:cstheme="minorEastAsia"/>
          <w:szCs w:val="21"/>
        </w:rPr>
      </w:pPr>
    </w:p>
    <w:p w14:paraId="78267169">
      <w:pPr>
        <w:rPr>
          <w:rFonts w:asciiTheme="minorEastAsia" w:hAnsiTheme="minorEastAsia" w:cstheme="minorEastAsia"/>
          <w:szCs w:val="21"/>
        </w:rPr>
      </w:pPr>
    </w:p>
    <w:p w14:paraId="76554ECF">
      <w:pPr>
        <w:rPr>
          <w:rFonts w:asciiTheme="minorEastAsia" w:hAnsiTheme="minorEastAsia" w:cstheme="minorEastAsia"/>
          <w:szCs w:val="21"/>
        </w:rPr>
      </w:pPr>
    </w:p>
    <w:p w14:paraId="12097B64">
      <w:pPr>
        <w:rPr>
          <w:rFonts w:asciiTheme="minorEastAsia" w:hAnsiTheme="minorEastAsia" w:cstheme="minorEastAsia"/>
          <w:szCs w:val="21"/>
        </w:rPr>
      </w:pPr>
    </w:p>
    <w:p w14:paraId="700329E6">
      <w:pPr>
        <w:rPr>
          <w:rFonts w:asciiTheme="minorEastAsia" w:hAnsiTheme="minorEastAsia" w:cstheme="minorEastAsia"/>
          <w:b/>
          <w:bCs/>
          <w:sz w:val="24"/>
          <w:szCs w:val="28"/>
        </w:rPr>
      </w:pPr>
    </w:p>
    <w:p w14:paraId="2C7DDDA6">
      <w:pPr>
        <w:rPr>
          <w:rFonts w:asciiTheme="minorEastAsia" w:hAnsiTheme="minorEastAsia" w:cstheme="minorEastAsia"/>
          <w:b/>
          <w:bCs/>
          <w:sz w:val="24"/>
          <w:szCs w:val="28"/>
        </w:rPr>
      </w:pPr>
      <w:r>
        <w:rPr>
          <w:rFonts w:hint="eastAsia" w:asciiTheme="minorEastAsia" w:hAnsiTheme="minorEastAsia" w:cstheme="minorEastAsia"/>
          <w:b/>
          <w:bCs/>
          <w:sz w:val="24"/>
          <w:szCs w:val="28"/>
        </w:rPr>
        <w:t>样稿</w:t>
      </w:r>
    </w:p>
    <w:p w14:paraId="5B9884A0">
      <w:pPr>
        <w:jc w:val="center"/>
        <w:rPr>
          <w:rFonts w:eastAsia="方正小标宋简体" w:asciiTheme="minorEastAsia" w:hAnsiTheme="minorEastAsia" w:cstheme="minorEastAsia"/>
          <w:sz w:val="36"/>
          <w:szCs w:val="36"/>
        </w:rPr>
      </w:pPr>
    </w:p>
    <w:p w14:paraId="73CD2F82">
      <w:pPr>
        <w:jc w:val="center"/>
        <w:rPr>
          <w:rFonts w:eastAsia="方正小标宋简体" w:asciiTheme="minorEastAsia" w:hAnsiTheme="minorEastAsia" w:cstheme="minorEastAsia"/>
          <w:sz w:val="36"/>
          <w:szCs w:val="36"/>
        </w:rPr>
      </w:pPr>
      <w:r>
        <w:rPr>
          <w:rFonts w:hint="eastAsia" w:eastAsia="方正小标宋简体" w:asciiTheme="minorEastAsia" w:hAnsiTheme="minorEastAsia" w:cstheme="minorEastAsia"/>
          <w:sz w:val="36"/>
          <w:szCs w:val="36"/>
        </w:rPr>
        <w:t>一例急性下壁心肌梗死社区院前急救病案报告</w:t>
      </w:r>
    </w:p>
    <w:p w14:paraId="14784285">
      <w:pPr>
        <w:jc w:val="center"/>
        <w:rPr>
          <w:rFonts w:eastAsia="方正小标宋简体" w:asciiTheme="minorEastAsia" w:hAnsiTheme="minorEastAsia" w:cstheme="minorEastAsia"/>
          <w:sz w:val="32"/>
          <w:szCs w:val="28"/>
        </w:rPr>
      </w:pPr>
    </w:p>
    <w:p w14:paraId="1D1FF7C5">
      <w:pPr>
        <w:spacing w:line="360" w:lineRule="auto"/>
        <w:rPr>
          <w:rFonts w:asciiTheme="minorEastAsia" w:hAnsiTheme="minorEastAsia" w:cstheme="minorEastAsia"/>
          <w:b/>
          <w:bCs/>
          <w:sz w:val="24"/>
        </w:rPr>
      </w:pPr>
      <w:r>
        <w:rPr>
          <w:rFonts w:asciiTheme="minorEastAsia" w:hAnsiTheme="minorEastAsia" w:cstheme="minorEastAsia"/>
          <w:b/>
          <w:bCs/>
          <w:sz w:val="24"/>
        </w:rPr>
        <w:t>申报人</w:t>
      </w:r>
      <w:r>
        <w:rPr>
          <w:rFonts w:hint="eastAsia" w:asciiTheme="minorEastAsia" w:hAnsiTheme="minorEastAsia" w:cstheme="minorEastAsia"/>
          <w:b/>
          <w:bCs/>
          <w:sz w:val="24"/>
        </w:rPr>
        <w:t>：</w:t>
      </w:r>
      <w:r>
        <w:rPr>
          <w:rFonts w:hint="eastAsia" w:asciiTheme="minorEastAsia" w:hAnsiTheme="minorEastAsia" w:cstheme="minorEastAsia"/>
          <w:sz w:val="24"/>
        </w:rPr>
        <w:t>***</w:t>
      </w:r>
    </w:p>
    <w:p w14:paraId="3E4A7B5B">
      <w:pPr>
        <w:spacing w:line="360" w:lineRule="auto"/>
        <w:rPr>
          <w:rFonts w:asciiTheme="minorEastAsia" w:hAnsiTheme="minorEastAsia" w:cstheme="minorEastAsia"/>
          <w:sz w:val="24"/>
        </w:rPr>
      </w:pPr>
      <w:r>
        <w:rPr>
          <w:rFonts w:asciiTheme="minorEastAsia" w:hAnsiTheme="minorEastAsia" w:cstheme="minorEastAsia"/>
          <w:b/>
          <w:bCs/>
          <w:sz w:val="24"/>
        </w:rPr>
        <w:t>单位</w:t>
      </w:r>
      <w:r>
        <w:rPr>
          <w:rFonts w:hint="eastAsia" w:asciiTheme="minorEastAsia" w:hAnsiTheme="minorEastAsia" w:cstheme="minorEastAsia"/>
          <w:b/>
          <w:bCs/>
          <w:sz w:val="24"/>
        </w:rPr>
        <w:t>：</w:t>
      </w:r>
      <w:r>
        <w:rPr>
          <w:rFonts w:hint="eastAsia" w:asciiTheme="minorEastAsia" w:hAnsiTheme="minorEastAsia" w:cstheme="minorEastAsia"/>
          <w:sz w:val="24"/>
        </w:rPr>
        <w:t>***社区卫生服务</w:t>
      </w:r>
      <w:r>
        <w:rPr>
          <w:rFonts w:asciiTheme="minorEastAsia" w:hAnsiTheme="minorEastAsia" w:cstheme="minorEastAsia"/>
          <w:sz w:val="24"/>
        </w:rPr>
        <w:t>中心，</w:t>
      </w:r>
      <w:r>
        <w:rPr>
          <w:rFonts w:hint="eastAsia" w:asciiTheme="minorEastAsia" w:hAnsiTheme="minorEastAsia" w:cstheme="minorEastAsia"/>
          <w:sz w:val="24"/>
        </w:rPr>
        <w:t>***</w:t>
      </w:r>
      <w:r>
        <w:rPr>
          <w:rFonts w:asciiTheme="minorEastAsia" w:hAnsiTheme="minorEastAsia" w:cstheme="minorEastAsia"/>
          <w:sz w:val="24"/>
        </w:rPr>
        <w:t>科</w:t>
      </w:r>
    </w:p>
    <w:p w14:paraId="3AE8DBFD">
      <w:pPr>
        <w:spacing w:line="360" w:lineRule="auto"/>
        <w:rPr>
          <w:rFonts w:asciiTheme="minorEastAsia" w:hAnsiTheme="minorEastAsia" w:cstheme="minorEastAsia"/>
          <w:b/>
          <w:bCs/>
          <w:sz w:val="24"/>
        </w:rPr>
      </w:pPr>
      <w:r>
        <w:rPr>
          <w:rFonts w:asciiTheme="minorEastAsia" w:hAnsiTheme="minorEastAsia" w:cstheme="minorEastAsia"/>
          <w:b/>
          <w:bCs/>
          <w:sz w:val="24"/>
        </w:rPr>
        <w:t>目前职称</w:t>
      </w:r>
      <w:r>
        <w:rPr>
          <w:rFonts w:hint="eastAsia" w:asciiTheme="minorEastAsia" w:hAnsiTheme="minorEastAsia" w:cstheme="minorEastAsia"/>
          <w:b/>
          <w:bCs/>
          <w:sz w:val="24"/>
        </w:rPr>
        <w:t>：</w:t>
      </w:r>
      <w:r>
        <w:rPr>
          <w:rFonts w:hint="eastAsia" w:asciiTheme="minorEastAsia" w:hAnsiTheme="minorEastAsia" w:cstheme="minorEastAsia"/>
          <w:sz w:val="24"/>
        </w:rPr>
        <w:t>主治医师</w:t>
      </w:r>
    </w:p>
    <w:p w14:paraId="4230F9E5">
      <w:pPr>
        <w:spacing w:line="360" w:lineRule="auto"/>
        <w:rPr>
          <w:rFonts w:asciiTheme="minorEastAsia" w:hAnsiTheme="minorEastAsia" w:cstheme="minorEastAsia"/>
          <w:b/>
          <w:bCs/>
          <w:sz w:val="24"/>
        </w:rPr>
      </w:pPr>
      <w:r>
        <w:rPr>
          <w:rFonts w:asciiTheme="minorEastAsia" w:hAnsiTheme="minorEastAsia" w:cstheme="minorEastAsia"/>
          <w:b/>
          <w:bCs/>
          <w:sz w:val="24"/>
        </w:rPr>
        <w:t>拟申报职称</w:t>
      </w:r>
      <w:r>
        <w:rPr>
          <w:rFonts w:hint="eastAsia" w:asciiTheme="minorEastAsia" w:hAnsiTheme="minorEastAsia" w:cstheme="minorEastAsia"/>
          <w:b/>
          <w:bCs/>
          <w:sz w:val="24"/>
        </w:rPr>
        <w:t>：</w:t>
      </w:r>
      <w:r>
        <w:rPr>
          <w:rFonts w:hint="eastAsia" w:asciiTheme="minorEastAsia" w:hAnsiTheme="minorEastAsia" w:cstheme="minorEastAsia"/>
          <w:sz w:val="24"/>
        </w:rPr>
        <w:t>副主任医师</w:t>
      </w:r>
    </w:p>
    <w:p w14:paraId="16979CC4">
      <w:pPr>
        <w:spacing w:line="360" w:lineRule="auto"/>
        <w:rPr>
          <w:rFonts w:asciiTheme="minorEastAsia" w:hAnsiTheme="minorEastAsia" w:cstheme="minorEastAsia"/>
          <w:b/>
          <w:bCs/>
          <w:sz w:val="24"/>
        </w:rPr>
      </w:pPr>
      <w:r>
        <w:rPr>
          <w:rFonts w:asciiTheme="minorEastAsia" w:hAnsiTheme="minorEastAsia" w:cstheme="minorEastAsia"/>
          <w:b/>
          <w:bCs/>
          <w:sz w:val="24"/>
        </w:rPr>
        <w:t>拟申报专业</w:t>
      </w:r>
      <w:r>
        <w:rPr>
          <w:rFonts w:hint="eastAsia" w:asciiTheme="minorEastAsia" w:hAnsiTheme="minorEastAsia" w:cstheme="minorEastAsia"/>
          <w:b/>
          <w:bCs/>
          <w:sz w:val="24"/>
        </w:rPr>
        <w:t>：</w:t>
      </w:r>
      <w:r>
        <w:rPr>
          <w:rFonts w:hint="eastAsia" w:asciiTheme="minorEastAsia" w:hAnsiTheme="minorEastAsia" w:cstheme="minorEastAsia"/>
          <w:sz w:val="24"/>
        </w:rPr>
        <w:t>全科</w:t>
      </w:r>
    </w:p>
    <w:p w14:paraId="26BEB35B">
      <w:pPr>
        <w:spacing w:line="360" w:lineRule="auto"/>
        <w:ind w:firstLine="480" w:firstLineChars="200"/>
        <w:rPr>
          <w:rFonts w:asciiTheme="minorEastAsia" w:hAnsiTheme="minorEastAsia" w:cstheme="minorEastAsia"/>
          <w:sz w:val="24"/>
        </w:rPr>
      </w:pPr>
    </w:p>
    <w:p w14:paraId="70F65590">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冠状动脉硬化性心脏病简称冠心病(CHD)，是由冠状动脉粥样硬化引起血管狭窄或阻塞，或因冠状动脉功能性改变(痉挛)导致心肌缺血缺氧或坏死而引起的心脏病。临床上可分为隐匿性冠心病、心绞痛、心肌梗死、缺血性心肌病和猝死五种；根据发病特点和治疗原则的异同又逐渐分为两大类：慢性心肌缺血综合征(稳定型心绞痛、隐匿性冠心病和缺血性心肌病)和急性冠脉综合征(不稳定型心绞痛、非ST段抬高型心肌梗死、ST段抬高型心肌梗死)。</w:t>
      </w:r>
    </w:p>
    <w:p w14:paraId="1421241C">
      <w:pPr>
        <w:spacing w:line="360" w:lineRule="auto"/>
        <w:ind w:firstLine="480" w:firstLineChars="200"/>
        <w:rPr>
          <w:rFonts w:asciiTheme="minorEastAsia" w:hAnsiTheme="minorEastAsia" w:cstheme="minorEastAsia"/>
          <w:sz w:val="24"/>
        </w:rPr>
      </w:pPr>
    </w:p>
    <w:p w14:paraId="0FBECC09">
      <w:pPr>
        <w:numPr>
          <w:ilvl w:val="0"/>
          <w:numId w:val="3"/>
        </w:numPr>
        <w:spacing w:line="360" w:lineRule="auto"/>
        <w:rPr>
          <w:rFonts w:asciiTheme="minorEastAsia" w:hAnsiTheme="minorEastAsia" w:cstheme="minorEastAsia"/>
          <w:b/>
          <w:bCs/>
          <w:sz w:val="24"/>
        </w:rPr>
      </w:pPr>
      <w:r>
        <w:rPr>
          <w:rFonts w:asciiTheme="minorEastAsia" w:hAnsiTheme="minorEastAsia" w:cstheme="minorEastAsia"/>
          <w:b/>
          <w:bCs/>
          <w:sz w:val="24"/>
        </w:rPr>
        <w:t>病例资料</w:t>
      </w:r>
    </w:p>
    <w:p w14:paraId="4E916E82">
      <w:pPr>
        <w:numPr>
          <w:ilvl w:val="1"/>
          <w:numId w:val="3"/>
        </w:numPr>
        <w:spacing w:line="360" w:lineRule="auto"/>
        <w:rPr>
          <w:rFonts w:asciiTheme="minorEastAsia" w:hAnsiTheme="minorEastAsia" w:cstheme="minorEastAsia"/>
          <w:sz w:val="24"/>
        </w:rPr>
      </w:pPr>
      <w:r>
        <w:rPr>
          <w:rFonts w:asciiTheme="minorEastAsia" w:hAnsiTheme="minorEastAsia" w:cstheme="minorEastAsia"/>
          <w:sz w:val="24"/>
        </w:rPr>
        <w:t xml:space="preserve"> S （Subjective data  主观资料）</w:t>
      </w:r>
    </w:p>
    <w:p w14:paraId="754C751C">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患者：***，性别：男性，年龄：68岁，接诊日期：2024年3月20日，病历号：********</w:t>
      </w:r>
    </w:p>
    <w:p w14:paraId="28109A57">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主诉：突发胸闷、心前区不适10分钟</w:t>
      </w:r>
    </w:p>
    <w:p w14:paraId="538B80A0">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现病史：患者陪同爱人购物后步行返家途中10分钟前突感胸闷，心前区不适，可忍受，伴大汗，乏力，恶心，口干。无胸痛、晕厥，间断出现2次上述症状，每次均自服5粒速效救心丸胸闷不能缓解，10分钟内无胸部紧缩感或胸骨后撕裂、压榨样疼痛，无放射痛，无恐惧、濒死感、烦躁不安，无上腹部疼痛、呕吐、发热，无胸骨后烧灼感、吞咽困难、呕血、黑便，由爱人搀扶陪同就诊。</w:t>
      </w:r>
    </w:p>
    <w:p w14:paraId="04FDE71B">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既往史：高脂血症10年，近2年规律服“阿托伐他汀20mg QN”治疗，未复查及完善其他检查。无药物过敏史。无传染病及传染病接触史，无其他慢性病史，无手术外伤史。无输血史。</w:t>
      </w:r>
    </w:p>
    <w:p w14:paraId="23199A42">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个人史：1周前进京，已婚，育1子，儿子体健，爱人体健。无吸烟、饮酒等特殊嗜好。</w:t>
      </w:r>
    </w:p>
    <w:p w14:paraId="007A91F9">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家族史：父母无高血压、糖尿病、冠心病、脑血管病史。无家族遗传病史。</w:t>
      </w:r>
    </w:p>
    <w:p w14:paraId="323D1222">
      <w:pPr>
        <w:spacing w:line="360" w:lineRule="auto"/>
        <w:rPr>
          <w:rFonts w:asciiTheme="minorEastAsia" w:hAnsiTheme="minorEastAsia" w:cstheme="minorEastAsia"/>
          <w:sz w:val="24"/>
        </w:rPr>
      </w:pPr>
      <w:r>
        <w:rPr>
          <w:rFonts w:asciiTheme="minorEastAsia" w:hAnsiTheme="minorEastAsia" w:cstheme="minorEastAsia"/>
          <w:sz w:val="24"/>
        </w:rPr>
        <w:t>1.2 O （Objective data  客观资料）</w:t>
      </w:r>
    </w:p>
    <w:p w14:paraId="2C8DF85F">
      <w:pPr>
        <w:spacing w:line="360" w:lineRule="auto"/>
        <w:rPr>
          <w:rFonts w:asciiTheme="minorEastAsia" w:hAnsiTheme="minorEastAsia" w:cstheme="minorEastAsia"/>
          <w:sz w:val="24"/>
        </w:rPr>
      </w:pPr>
      <w:r>
        <w:rPr>
          <w:rFonts w:asciiTheme="minorEastAsia" w:hAnsiTheme="minorEastAsia" w:cstheme="minorEastAsia"/>
          <w:sz w:val="24"/>
        </w:rPr>
        <w:t>1.2.1体格检查</w:t>
      </w:r>
    </w:p>
    <w:p w14:paraId="3A3DAE42">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T</w:t>
      </w:r>
      <w:r>
        <w:rPr>
          <w:rFonts w:asciiTheme="minorEastAsia" w:hAnsiTheme="minorEastAsia" w:cstheme="minorEastAsia"/>
          <w:sz w:val="24"/>
        </w:rPr>
        <w:t xml:space="preserve"> </w:t>
      </w:r>
      <w:r>
        <w:rPr>
          <w:rFonts w:hint="eastAsia" w:asciiTheme="minorEastAsia" w:hAnsiTheme="minorEastAsia" w:cstheme="minorEastAsia"/>
          <w:sz w:val="24"/>
        </w:rPr>
        <w:t>37.0℃  P 96次/分  R18次/分  BP116/60mmHg ，身高172cm，体重82Kg，BMI：27.7，腰围120cm。自动体位，神志清楚，精神弱，口唇、甲床无紫绀，无颈静脉怒张，双肺呼吸音粗，未闻及干湿罗音；心前区无隆起，未见异常搏动，无心前区震颤，心界无扩大，心率96次/分，心律齐，各瓣膜区未闻病理性杂音。腹部无阳性体征，双下肢无水肿。</w:t>
      </w:r>
    </w:p>
    <w:p w14:paraId="717BCDF5">
      <w:pPr>
        <w:spacing w:line="360" w:lineRule="auto"/>
        <w:rPr>
          <w:rFonts w:asciiTheme="minorEastAsia" w:hAnsiTheme="minorEastAsia" w:cstheme="minorEastAsia"/>
          <w:sz w:val="24"/>
        </w:rPr>
      </w:pPr>
      <w:r>
        <w:rPr>
          <w:rFonts w:asciiTheme="minorEastAsia" w:hAnsiTheme="minorEastAsia" w:cstheme="minorEastAsia"/>
          <w:sz w:val="24"/>
        </w:rPr>
        <w:t>1.2.2辅助检查</w:t>
      </w:r>
    </w:p>
    <w:p w14:paraId="28211B4A">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心电图：窦性心律，律齐，心率92次/分，II、III、AVF导联S-T段抬高，V1-V3导联ST段压低0.1mv。</w:t>
      </w:r>
    </w:p>
    <w:p w14:paraId="12D45B43">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 xml:space="preserve">快速血糖11.0mmol/l。 </w:t>
      </w:r>
    </w:p>
    <w:p w14:paraId="68F41520">
      <w:pPr>
        <w:spacing w:line="360" w:lineRule="auto"/>
        <w:rPr>
          <w:rFonts w:asciiTheme="minorEastAsia" w:hAnsiTheme="minorEastAsia" w:cstheme="minorEastAsia"/>
          <w:sz w:val="24"/>
        </w:rPr>
      </w:pPr>
      <w:r>
        <w:rPr>
          <w:rFonts w:asciiTheme="minorEastAsia" w:hAnsiTheme="minorEastAsia" w:cstheme="minorEastAsia"/>
          <w:sz w:val="24"/>
        </w:rPr>
        <w:t xml:space="preserve">1.3 A （Assesment  对健康问题的评估） </w:t>
      </w:r>
    </w:p>
    <w:p w14:paraId="242456E2">
      <w:pPr>
        <w:spacing w:line="360" w:lineRule="auto"/>
        <w:rPr>
          <w:rFonts w:ascii="宋体" w:hAnsi="宋体" w:cs="宋体"/>
          <w:sz w:val="24"/>
        </w:rPr>
      </w:pPr>
      <w:r>
        <w:rPr>
          <w:rFonts w:hint="eastAsia" w:ascii="宋体" w:hAnsi="宋体" w:cs="宋体"/>
          <w:sz w:val="24"/>
        </w:rPr>
        <w:t>1.3.1初步诊断</w:t>
      </w:r>
    </w:p>
    <w:p w14:paraId="1F3A96CC">
      <w:pPr>
        <w:spacing w:line="360" w:lineRule="auto"/>
        <w:ind w:firstLine="720" w:firstLineChars="300"/>
        <w:rPr>
          <w:rFonts w:ascii="宋体" w:hAnsi="宋体" w:cs="宋体"/>
          <w:sz w:val="24"/>
        </w:rPr>
      </w:pPr>
      <w:r>
        <w:rPr>
          <w:rFonts w:hint="eastAsia" w:ascii="宋体" w:hAnsi="宋体" w:cs="宋体"/>
          <w:sz w:val="24"/>
        </w:rPr>
        <w:t>冠状动脉粥样硬化性心脏病</w:t>
      </w:r>
    </w:p>
    <w:p w14:paraId="330E0591">
      <w:pPr>
        <w:spacing w:line="360" w:lineRule="auto"/>
        <w:ind w:firstLine="1200" w:firstLineChars="500"/>
        <w:rPr>
          <w:rFonts w:ascii="宋体" w:hAnsi="宋体" w:cs="宋体"/>
          <w:sz w:val="24"/>
        </w:rPr>
      </w:pPr>
      <w:r>
        <w:rPr>
          <w:rFonts w:hint="eastAsia" w:ascii="宋体" w:hAnsi="宋体" w:cs="宋体"/>
          <w:sz w:val="24"/>
        </w:rPr>
        <w:t xml:space="preserve">急性下壁心肌梗死  </w:t>
      </w:r>
    </w:p>
    <w:p w14:paraId="67681BC1">
      <w:pPr>
        <w:spacing w:line="360" w:lineRule="auto"/>
        <w:ind w:firstLine="1200" w:firstLineChars="500"/>
        <w:rPr>
          <w:rFonts w:ascii="宋体" w:hAnsi="宋体" w:cs="宋体"/>
          <w:sz w:val="24"/>
        </w:rPr>
      </w:pPr>
      <w:r>
        <w:rPr>
          <w:rFonts w:hint="eastAsia" w:ascii="宋体" w:hAnsi="宋体" w:cs="宋体"/>
          <w:sz w:val="24"/>
        </w:rPr>
        <w:t xml:space="preserve">killip1级       </w:t>
      </w:r>
    </w:p>
    <w:p w14:paraId="7228E8CC">
      <w:pPr>
        <w:spacing w:line="360" w:lineRule="auto"/>
        <w:ind w:firstLine="720" w:firstLineChars="300"/>
        <w:rPr>
          <w:rFonts w:ascii="宋体" w:hAnsi="宋体" w:cs="宋体"/>
          <w:sz w:val="24"/>
        </w:rPr>
      </w:pPr>
      <w:r>
        <w:rPr>
          <w:rFonts w:hint="eastAsia" w:ascii="宋体" w:hAnsi="宋体" w:cs="宋体"/>
          <w:sz w:val="24"/>
        </w:rPr>
        <w:t>高脂血症</w:t>
      </w:r>
    </w:p>
    <w:p w14:paraId="159A27AE">
      <w:pPr>
        <w:spacing w:line="360" w:lineRule="auto"/>
        <w:ind w:firstLine="720" w:firstLineChars="300"/>
        <w:rPr>
          <w:rFonts w:ascii="宋体" w:hAnsi="宋体" w:cs="宋体"/>
          <w:sz w:val="24"/>
        </w:rPr>
      </w:pPr>
      <w:r>
        <w:rPr>
          <w:rFonts w:hint="eastAsia" w:ascii="宋体" w:hAnsi="宋体" w:cs="宋体"/>
          <w:sz w:val="24"/>
        </w:rPr>
        <w:t>腹型肥胖</w:t>
      </w:r>
    </w:p>
    <w:p w14:paraId="353CEA36">
      <w:pPr>
        <w:spacing w:line="360" w:lineRule="auto"/>
        <w:rPr>
          <w:rFonts w:ascii="宋体" w:hAnsi="宋体" w:cs="宋体"/>
          <w:sz w:val="24"/>
        </w:rPr>
      </w:pPr>
      <w:r>
        <w:rPr>
          <w:rFonts w:hint="eastAsia" w:ascii="宋体" w:hAnsi="宋体" w:cs="宋体"/>
          <w:sz w:val="24"/>
        </w:rPr>
        <w:t>1.3.2鉴别诊断</w:t>
      </w:r>
    </w:p>
    <w:p w14:paraId="3F4D2C8F">
      <w:pPr>
        <w:spacing w:line="360" w:lineRule="auto"/>
        <w:ind w:firstLine="480" w:firstLineChars="200"/>
        <w:rPr>
          <w:rFonts w:ascii="宋体" w:hAnsi="宋体" w:cs="宋体"/>
          <w:sz w:val="24"/>
        </w:rPr>
      </w:pPr>
      <w:r>
        <w:rPr>
          <w:rFonts w:hint="eastAsia" w:ascii="宋体" w:hAnsi="宋体" w:cs="宋体"/>
          <w:sz w:val="24"/>
        </w:rPr>
        <w:t>需与主动脉夹层、急性肺栓塞、急性心脏压塞等急危重症鉴别。</w:t>
      </w:r>
    </w:p>
    <w:p w14:paraId="0D881A17">
      <w:pPr>
        <w:spacing w:line="360" w:lineRule="auto"/>
        <w:rPr>
          <w:rFonts w:ascii="宋体" w:hAnsi="宋体" w:cs="宋体"/>
          <w:sz w:val="24"/>
        </w:rPr>
      </w:pPr>
      <w:r>
        <w:rPr>
          <w:rFonts w:hint="eastAsia" w:ascii="宋体" w:hAnsi="宋体" w:cs="宋体"/>
          <w:sz w:val="24"/>
        </w:rPr>
        <w:t xml:space="preserve">1.3.3问题的轻重程度及预后判断  </w:t>
      </w:r>
    </w:p>
    <w:p w14:paraId="0712F08A">
      <w:pPr>
        <w:spacing w:line="360" w:lineRule="auto"/>
        <w:ind w:firstLine="480" w:firstLineChars="200"/>
        <w:rPr>
          <w:rFonts w:ascii="宋体" w:hAnsi="宋体" w:cs="宋体"/>
          <w:sz w:val="24"/>
        </w:rPr>
      </w:pPr>
      <w:r>
        <w:rPr>
          <w:rFonts w:hint="eastAsia" w:ascii="宋体" w:hAnsi="宋体" w:cs="宋体"/>
          <w:sz w:val="24"/>
        </w:rPr>
        <w:t>问题的轻重程度及预后判断：根据典型症状、缺血性心电图改变和后期的心肌损伤标记物测定，即可做出 ACS的诊断。其中STEMI的风险评估是一个连续的过程，需根据患者的临床情况不断更新。其中高龄、男性、KillipⅡ-IV级、既往心肌梗死史、心房颤动、前壁心肌梗死、肺部啰音、收缩压&lt;100mmHg、心率&gt;100次/分、糖尿病、肌酐增高、cTn明显升高等均为STEMI患者死亡风险增加的独立危险因素。</w:t>
      </w:r>
    </w:p>
    <w:p w14:paraId="711B7BCB">
      <w:pPr>
        <w:spacing w:line="360" w:lineRule="auto"/>
        <w:rPr>
          <w:rFonts w:ascii="宋体" w:hAnsi="宋体" w:cs="宋体"/>
          <w:sz w:val="24"/>
        </w:rPr>
      </w:pPr>
      <w:r>
        <w:rPr>
          <w:rFonts w:hint="eastAsia" w:ascii="宋体" w:hAnsi="宋体" w:cs="宋体"/>
          <w:sz w:val="24"/>
        </w:rPr>
        <w:t>1.3.4应急处理流程</w:t>
      </w:r>
    </w:p>
    <w:p w14:paraId="5A42E7E3">
      <w:pPr>
        <w:spacing w:line="360" w:lineRule="auto"/>
        <w:ind w:firstLine="480" w:firstLineChars="200"/>
        <w:rPr>
          <w:rFonts w:ascii="宋体" w:hAnsi="宋体" w:cs="宋体"/>
          <w:sz w:val="24"/>
        </w:rPr>
      </w:pPr>
      <w:r>
        <w:rPr>
          <w:rFonts w:asciiTheme="minorEastAsia" w:hAnsiTheme="minorEastAsia" w:cstheme="minorEastAsia"/>
          <w:sz w:val="24"/>
        </w:rPr>
        <w:drawing>
          <wp:inline distT="0" distB="0" distL="114300" distR="114300">
            <wp:extent cx="4041775" cy="3210560"/>
            <wp:effectExtent l="0" t="0" r="12065" b="5080"/>
            <wp:docPr id="6" name="图片 6" descr="404207039737328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404207039737328973"/>
                    <pic:cNvPicPr>
                      <a:picLocks noChangeAspect="1"/>
                    </pic:cNvPicPr>
                  </pic:nvPicPr>
                  <pic:blipFill>
                    <a:blip r:embed="rId18"/>
                    <a:stretch>
                      <a:fillRect/>
                    </a:stretch>
                  </pic:blipFill>
                  <pic:spPr>
                    <a:xfrm>
                      <a:off x="0" y="0"/>
                      <a:ext cx="4041775" cy="3210560"/>
                    </a:xfrm>
                    <a:prstGeom prst="rect">
                      <a:avLst/>
                    </a:prstGeom>
                  </pic:spPr>
                </pic:pic>
              </a:graphicData>
            </a:graphic>
          </wp:inline>
        </w:drawing>
      </w:r>
      <w:r>
        <w:rPr>
          <w:rFonts w:hint="eastAsia" w:ascii="宋体" w:hAnsi="宋体" w:cs="宋体"/>
          <w:sz w:val="24"/>
        </w:rPr>
        <w:t xml:space="preserve">  </w:t>
      </w:r>
    </w:p>
    <w:p w14:paraId="24E81B40">
      <w:pPr>
        <w:spacing w:line="360" w:lineRule="auto"/>
        <w:rPr>
          <w:rFonts w:ascii="宋体" w:hAnsi="宋体" w:cs="宋体"/>
          <w:sz w:val="24"/>
        </w:rPr>
      </w:pPr>
      <w:r>
        <w:rPr>
          <w:rFonts w:hint="eastAsia" w:ascii="宋体" w:hAnsi="宋体" w:cs="宋体"/>
          <w:sz w:val="24"/>
        </w:rPr>
        <w:t>1.4 P （Plan  对问题的处理计划）</w:t>
      </w:r>
    </w:p>
    <w:p w14:paraId="0CBEAB22">
      <w:pPr>
        <w:spacing w:line="360" w:lineRule="auto"/>
        <w:rPr>
          <w:rFonts w:ascii="宋体" w:hAnsi="宋体" w:cs="宋体"/>
          <w:sz w:val="24"/>
        </w:rPr>
      </w:pPr>
      <w:r>
        <w:rPr>
          <w:rFonts w:hint="eastAsia" w:ascii="宋体" w:hAnsi="宋体" w:cs="宋体"/>
          <w:sz w:val="24"/>
        </w:rPr>
        <w:t>1.4.1检查计划：凝血检查、心肌损伤标记物。</w:t>
      </w:r>
    </w:p>
    <w:p w14:paraId="4DA72B97">
      <w:pPr>
        <w:spacing w:line="360" w:lineRule="auto"/>
        <w:rPr>
          <w:rFonts w:ascii="宋体" w:hAnsi="宋体" w:cs="宋体"/>
          <w:sz w:val="24"/>
        </w:rPr>
      </w:pPr>
      <w:r>
        <w:rPr>
          <w:rFonts w:hint="eastAsia" w:ascii="宋体" w:hAnsi="宋体" w:cs="宋体"/>
          <w:sz w:val="24"/>
        </w:rPr>
        <w:t>1.4.2治疗计划：</w:t>
      </w:r>
    </w:p>
    <w:p w14:paraId="0491D2E9">
      <w:pPr>
        <w:spacing w:line="360" w:lineRule="auto"/>
        <w:ind w:firstLine="480" w:firstLineChars="200"/>
        <w:rPr>
          <w:rFonts w:ascii="宋体" w:hAnsi="宋体" w:cs="宋体"/>
          <w:sz w:val="24"/>
        </w:rPr>
      </w:pPr>
      <w:r>
        <w:rPr>
          <w:rFonts w:hint="eastAsia" w:ascii="宋体" w:hAnsi="宋体" w:cs="宋体"/>
          <w:sz w:val="24"/>
        </w:rPr>
        <w:t>（1）冠状动脉造影检查，根据结果决定是否介入治疗。</w:t>
      </w:r>
    </w:p>
    <w:p w14:paraId="73729BCB">
      <w:pPr>
        <w:spacing w:line="360" w:lineRule="auto"/>
        <w:ind w:firstLine="480" w:firstLineChars="200"/>
        <w:rPr>
          <w:rFonts w:ascii="宋体" w:hAnsi="宋体" w:cs="宋体"/>
          <w:sz w:val="24"/>
        </w:rPr>
      </w:pPr>
      <w:r>
        <w:rPr>
          <w:rFonts w:hint="eastAsia" w:ascii="宋体" w:hAnsi="宋体" w:cs="宋体"/>
          <w:sz w:val="24"/>
        </w:rPr>
        <w:t>（2）药物治疗：阿司匹林肠溶片100mg Qd，P2Y12受体抑制剂，β受体阻滞剂，调脂治疗。</w:t>
      </w:r>
    </w:p>
    <w:p w14:paraId="797B7CD3">
      <w:pPr>
        <w:spacing w:line="360" w:lineRule="auto"/>
        <w:ind w:firstLine="480" w:firstLineChars="200"/>
        <w:rPr>
          <w:rFonts w:ascii="宋体" w:hAnsi="宋体" w:cs="宋体"/>
          <w:sz w:val="24"/>
        </w:rPr>
      </w:pPr>
      <w:r>
        <w:rPr>
          <w:rFonts w:hint="eastAsia" w:ascii="宋体" w:hAnsi="宋体" w:cs="宋体"/>
          <w:sz w:val="24"/>
        </w:rPr>
        <w:t>（3）非药物治疗：控制危险因素。</w:t>
      </w:r>
    </w:p>
    <w:p w14:paraId="35F50621">
      <w:pPr>
        <w:spacing w:line="360" w:lineRule="auto"/>
        <w:rPr>
          <w:rFonts w:ascii="宋体" w:hAnsi="宋体" w:cs="宋体"/>
          <w:sz w:val="24"/>
        </w:rPr>
      </w:pPr>
      <w:r>
        <w:rPr>
          <w:rFonts w:hint="eastAsia" w:ascii="宋体" w:hAnsi="宋体" w:cs="宋体"/>
          <w:sz w:val="24"/>
        </w:rPr>
        <w:t>1.4.3转诊标准</w:t>
      </w:r>
    </w:p>
    <w:p w14:paraId="745A2242">
      <w:pPr>
        <w:spacing w:line="360" w:lineRule="auto"/>
        <w:ind w:firstLine="480" w:firstLineChars="200"/>
        <w:rPr>
          <w:rFonts w:ascii="宋体" w:hAnsi="宋体" w:cs="宋体"/>
          <w:sz w:val="24"/>
        </w:rPr>
      </w:pPr>
      <w:r>
        <w:rPr>
          <w:rFonts w:hint="eastAsia" w:ascii="宋体" w:hAnsi="宋体" w:cs="宋体"/>
          <w:sz w:val="24"/>
        </w:rPr>
        <w:t>社区初诊或者社区管理的冠心病患者，出现以下情况之一，应及时上转至二级及以上医院救治。</w:t>
      </w:r>
    </w:p>
    <w:p w14:paraId="70E8FA01">
      <w:pPr>
        <w:spacing w:line="360" w:lineRule="auto"/>
        <w:ind w:firstLine="480" w:firstLineChars="200"/>
        <w:rPr>
          <w:rFonts w:ascii="宋体" w:hAnsi="宋体" w:cs="宋体"/>
          <w:sz w:val="24"/>
        </w:rPr>
      </w:pPr>
      <w:r>
        <w:rPr>
          <w:rFonts w:hint="eastAsia" w:ascii="宋体" w:hAnsi="宋体" w:cs="宋体"/>
          <w:sz w:val="24"/>
        </w:rPr>
        <w:t>（1）首次发生心绞痛。</w:t>
      </w:r>
    </w:p>
    <w:p w14:paraId="1E75D460">
      <w:pPr>
        <w:spacing w:line="360" w:lineRule="auto"/>
        <w:ind w:firstLine="480" w:firstLineChars="200"/>
        <w:rPr>
          <w:rFonts w:ascii="宋体" w:hAnsi="宋体" w:cs="宋体"/>
          <w:sz w:val="24"/>
        </w:rPr>
      </w:pPr>
      <w:r>
        <w:rPr>
          <w:rFonts w:hint="eastAsia" w:ascii="宋体" w:hAnsi="宋体" w:cs="宋体"/>
          <w:sz w:val="24"/>
        </w:rPr>
        <w:t>（2）无典型胸痛发作，但心电图ST-T有动态异常改变。</w:t>
      </w:r>
    </w:p>
    <w:p w14:paraId="0EE3B4DF">
      <w:pPr>
        <w:spacing w:line="360" w:lineRule="auto"/>
        <w:ind w:firstLine="480" w:firstLineChars="200"/>
        <w:rPr>
          <w:rFonts w:ascii="宋体" w:hAnsi="宋体" w:cs="宋体"/>
          <w:sz w:val="24"/>
        </w:rPr>
      </w:pPr>
      <w:r>
        <w:rPr>
          <w:rFonts w:hint="eastAsia" w:ascii="宋体" w:hAnsi="宋体" w:cs="宋体"/>
          <w:sz w:val="24"/>
        </w:rPr>
        <w:t>（3）稳定型心绞痛患者出现心绞痛发作频率增加，胸痛加重，持续时间延长，硝酸甘油对胸痛缓解效果不好,活动耐量减低或伴发严重症状。</w:t>
      </w:r>
    </w:p>
    <w:p w14:paraId="009708DF">
      <w:pPr>
        <w:spacing w:line="360" w:lineRule="auto"/>
        <w:ind w:firstLine="480" w:firstLineChars="200"/>
        <w:rPr>
          <w:rFonts w:ascii="宋体" w:hAnsi="宋体" w:cs="宋体"/>
          <w:sz w:val="24"/>
        </w:rPr>
      </w:pPr>
      <w:r>
        <w:rPr>
          <w:rFonts w:hint="eastAsia" w:ascii="宋体" w:hAnsi="宋体" w:cs="宋体"/>
          <w:sz w:val="24"/>
        </w:rPr>
        <w:t>（4）反复心绞痛发作，心电图有或无ST段压低，但有明显心衰症状或合并严重心律失常。</w:t>
      </w:r>
    </w:p>
    <w:p w14:paraId="420C521F">
      <w:pPr>
        <w:spacing w:line="360" w:lineRule="auto"/>
        <w:ind w:firstLine="480" w:firstLineChars="200"/>
        <w:rPr>
          <w:rFonts w:ascii="宋体" w:hAnsi="宋体" w:cs="宋体"/>
          <w:sz w:val="24"/>
        </w:rPr>
      </w:pPr>
      <w:r>
        <w:rPr>
          <w:rFonts w:hint="eastAsia" w:ascii="宋体" w:hAnsi="宋体" w:cs="宋体"/>
          <w:sz w:val="24"/>
        </w:rPr>
        <w:t>（5）胸痛伴新出现的左、右束支传导阻滞。</w:t>
      </w:r>
    </w:p>
    <w:p w14:paraId="79DDDC20">
      <w:pPr>
        <w:spacing w:line="360" w:lineRule="auto"/>
        <w:ind w:firstLine="480" w:firstLineChars="200"/>
        <w:rPr>
          <w:rFonts w:ascii="宋体" w:hAnsi="宋体" w:cs="宋体"/>
          <w:sz w:val="24"/>
        </w:rPr>
      </w:pPr>
      <w:r>
        <w:rPr>
          <w:rFonts w:hint="eastAsia" w:ascii="宋体" w:hAnsi="宋体" w:cs="宋体"/>
          <w:sz w:val="24"/>
        </w:rPr>
        <w:t>（6）首次发现陈旧性心肌梗死;新近发生或者可疑心力衰竭。</w:t>
      </w:r>
    </w:p>
    <w:p w14:paraId="3243F369">
      <w:pPr>
        <w:spacing w:line="360" w:lineRule="auto"/>
        <w:ind w:firstLine="480" w:firstLineChars="200"/>
        <w:rPr>
          <w:rFonts w:ascii="宋体" w:hAnsi="宋体" w:cs="宋体"/>
          <w:sz w:val="24"/>
        </w:rPr>
      </w:pPr>
      <w:r>
        <w:rPr>
          <w:rFonts w:hint="eastAsia" w:ascii="宋体" w:hAnsi="宋体" w:cs="宋体"/>
          <w:sz w:val="24"/>
        </w:rPr>
        <w:t>（7）急性冠脉综合征患者。</w:t>
      </w:r>
    </w:p>
    <w:p w14:paraId="28FFB881">
      <w:pPr>
        <w:spacing w:line="360" w:lineRule="auto"/>
        <w:ind w:firstLine="480" w:firstLineChars="200"/>
        <w:rPr>
          <w:rFonts w:ascii="宋体" w:hAnsi="宋体" w:cs="宋体"/>
          <w:sz w:val="24"/>
        </w:rPr>
      </w:pPr>
      <w:r>
        <w:rPr>
          <w:rFonts w:hint="eastAsia" w:ascii="宋体" w:hAnsi="宋体" w:cs="宋体"/>
          <w:sz w:val="24"/>
        </w:rPr>
        <w:t>（8）不明原因的晕厥、血流动力学不稳定。</w:t>
      </w:r>
    </w:p>
    <w:p w14:paraId="45A81508">
      <w:pPr>
        <w:spacing w:line="360" w:lineRule="auto"/>
        <w:ind w:firstLine="480" w:firstLineChars="200"/>
        <w:rPr>
          <w:rFonts w:ascii="宋体" w:hAnsi="宋体" w:cs="宋体"/>
          <w:sz w:val="24"/>
        </w:rPr>
      </w:pPr>
      <w:r>
        <w:rPr>
          <w:rFonts w:hint="eastAsia" w:ascii="宋体" w:hAnsi="宋体" w:cs="宋体"/>
          <w:sz w:val="24"/>
        </w:rPr>
        <w:t>（9）出现其他严重合并症，如消化道出血、脑卒中等需要进一步检查者；需要做运动试验、核素成像检查、超声心动图、冠脉CT、冠状动脉造影等检查者。</w:t>
      </w:r>
    </w:p>
    <w:p w14:paraId="542097CE">
      <w:pPr>
        <w:numPr>
          <w:ilvl w:val="0"/>
          <w:numId w:val="3"/>
        </w:numPr>
        <w:spacing w:line="360" w:lineRule="auto"/>
        <w:rPr>
          <w:rFonts w:asciiTheme="minorEastAsia" w:hAnsiTheme="minorEastAsia" w:cstheme="minorEastAsia"/>
          <w:b/>
          <w:bCs/>
          <w:sz w:val="24"/>
        </w:rPr>
      </w:pPr>
      <w:r>
        <w:rPr>
          <w:rFonts w:hint="eastAsia" w:asciiTheme="minorEastAsia" w:hAnsiTheme="minorEastAsia" w:cstheme="minorEastAsia"/>
          <w:b/>
          <w:bCs/>
          <w:sz w:val="24"/>
        </w:rPr>
        <w:t>急症的判断及依据</w:t>
      </w:r>
    </w:p>
    <w:p w14:paraId="14F28265">
      <w:pPr>
        <w:spacing w:line="360" w:lineRule="auto"/>
        <w:rPr>
          <w:rFonts w:asciiTheme="minorEastAsia" w:hAnsiTheme="minorEastAsia" w:cstheme="minorEastAsia"/>
          <w:sz w:val="24"/>
        </w:rPr>
      </w:pPr>
      <w:r>
        <w:rPr>
          <w:rFonts w:asciiTheme="minorEastAsia" w:hAnsiTheme="minorEastAsia" w:cstheme="minorEastAsia"/>
          <w:sz w:val="24"/>
        </w:rPr>
        <w:t>2.1</w:t>
      </w:r>
      <w:r>
        <w:rPr>
          <w:rFonts w:hint="eastAsia" w:asciiTheme="minorEastAsia" w:hAnsiTheme="minorEastAsia" w:cstheme="minorEastAsia"/>
          <w:sz w:val="24"/>
        </w:rPr>
        <w:t>急症的判断及依据</w:t>
      </w:r>
    </w:p>
    <w:p w14:paraId="76581B10">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活动后突感胸闷，心前区不适，可忍受，伴大汗，乏力，恶心，口干。无胸痛、晕厥，间断出现2次上述症状，每次均自服5粒速效救心丸胸闷不能缓解，10分钟内无胸部紧缩感或胸骨后撕裂、压榨样疼痛，无放射痛，无恐惧、濒死感。心电图：窦性心律，律齐，心率92次/分，II、III、AVF导联ST段抬高，V1-V3导联ST段压低0.1mv。</w:t>
      </w:r>
    </w:p>
    <w:p w14:paraId="5D134763">
      <w:pPr>
        <w:spacing w:line="360" w:lineRule="auto"/>
        <w:rPr>
          <w:rFonts w:asciiTheme="minorEastAsia" w:hAnsiTheme="minorEastAsia" w:cstheme="minorEastAsia"/>
          <w:sz w:val="24"/>
        </w:rPr>
      </w:pPr>
      <w:r>
        <w:rPr>
          <w:rFonts w:hint="eastAsia" w:asciiTheme="minorEastAsia" w:hAnsiTheme="minorEastAsia" w:cstheme="minorEastAsia"/>
          <w:sz w:val="24"/>
        </w:rPr>
        <w:t>2</w:t>
      </w:r>
      <w:r>
        <w:rPr>
          <w:rFonts w:asciiTheme="minorEastAsia" w:hAnsiTheme="minorEastAsia" w:cstheme="minorEastAsia"/>
          <w:sz w:val="24"/>
        </w:rPr>
        <w:t>.2</w:t>
      </w:r>
      <w:r>
        <w:rPr>
          <w:rFonts w:hint="eastAsia" w:asciiTheme="minorEastAsia" w:hAnsiTheme="minorEastAsia" w:cstheme="minorEastAsia"/>
          <w:sz w:val="24"/>
        </w:rPr>
        <w:t>急救过程</w:t>
      </w:r>
    </w:p>
    <w:p w14:paraId="5C6D4F7C">
      <w:pPr>
        <w:spacing w:line="360" w:lineRule="auto"/>
        <w:ind w:firstLine="480" w:firstLineChars="200"/>
        <w:rPr>
          <w:rFonts w:asciiTheme="minorEastAsia" w:hAnsiTheme="minorEastAsia" w:cstheme="minorEastAsia"/>
          <w:sz w:val="24"/>
        </w:rPr>
      </w:pPr>
      <w:r>
        <w:rPr>
          <w:rFonts w:hint="eastAsia" w:ascii="宋体" w:hAnsi="宋体" w:cs="宋体"/>
          <w:sz w:val="24"/>
        </w:rPr>
        <w:t>（1）</w:t>
      </w:r>
      <w:r>
        <w:rPr>
          <w:rFonts w:hint="eastAsia" w:asciiTheme="minorEastAsia" w:hAnsiTheme="minorEastAsia" w:cstheme="minorEastAsia"/>
          <w:sz w:val="24"/>
        </w:rPr>
        <w:t>轮椅推至抢救室；置于平卧位。</w:t>
      </w:r>
    </w:p>
    <w:p w14:paraId="1C51E1D0">
      <w:pPr>
        <w:spacing w:line="360" w:lineRule="auto"/>
        <w:ind w:firstLine="480" w:firstLineChars="200"/>
        <w:rPr>
          <w:rFonts w:asciiTheme="minorEastAsia" w:hAnsiTheme="minorEastAsia" w:cstheme="minorEastAsia"/>
          <w:sz w:val="24"/>
        </w:rPr>
      </w:pPr>
      <w:r>
        <w:rPr>
          <w:rFonts w:hint="eastAsia" w:ascii="宋体" w:hAnsi="宋体" w:cs="宋体"/>
          <w:sz w:val="24"/>
        </w:rPr>
        <w:t>（2）</w:t>
      </w:r>
      <w:r>
        <w:rPr>
          <w:rFonts w:hint="eastAsia" w:asciiTheme="minorEastAsia" w:hAnsiTheme="minorEastAsia" w:cstheme="minorEastAsia"/>
          <w:sz w:val="24"/>
        </w:rPr>
        <w:t>10分钟内完成第一份心电图。</w:t>
      </w:r>
    </w:p>
    <w:p w14:paraId="694E1484">
      <w:pPr>
        <w:spacing w:line="360" w:lineRule="auto"/>
        <w:ind w:firstLine="480" w:firstLineChars="200"/>
        <w:rPr>
          <w:rFonts w:asciiTheme="minorEastAsia" w:hAnsiTheme="minorEastAsia" w:cstheme="minorEastAsia"/>
          <w:sz w:val="24"/>
        </w:rPr>
      </w:pPr>
      <w:r>
        <w:rPr>
          <w:rFonts w:hint="eastAsia" w:ascii="宋体" w:hAnsi="宋体" w:cs="宋体"/>
          <w:sz w:val="24"/>
        </w:rPr>
        <w:t>（3）</w:t>
      </w:r>
      <w:r>
        <w:rPr>
          <w:rFonts w:hint="eastAsia" w:asciiTheme="minorEastAsia" w:hAnsiTheme="minorEastAsia" w:cstheme="minorEastAsia"/>
          <w:sz w:val="24"/>
        </w:rPr>
        <w:t>面罩吸氧或鼻导管吸氧(氧浓度一般为2</w:t>
      </w:r>
      <w:r>
        <w:rPr>
          <w:rFonts w:asciiTheme="minorEastAsia" w:hAnsiTheme="minorEastAsia" w:cstheme="minorEastAsia"/>
          <w:sz w:val="24"/>
        </w:rPr>
        <w:t>-</w:t>
      </w:r>
      <w:r>
        <w:rPr>
          <w:rFonts w:hint="eastAsia" w:asciiTheme="minorEastAsia" w:hAnsiTheme="minorEastAsia" w:cstheme="minorEastAsia"/>
          <w:sz w:val="24"/>
        </w:rPr>
        <w:t>4L/min)。</w:t>
      </w:r>
    </w:p>
    <w:p w14:paraId="15853E35">
      <w:pPr>
        <w:spacing w:line="360" w:lineRule="auto"/>
        <w:ind w:firstLine="480" w:firstLineChars="200"/>
        <w:rPr>
          <w:rFonts w:asciiTheme="minorEastAsia" w:hAnsiTheme="minorEastAsia" w:cstheme="minorEastAsia"/>
          <w:sz w:val="24"/>
        </w:rPr>
      </w:pPr>
      <w:r>
        <w:rPr>
          <w:rFonts w:hint="eastAsia" w:ascii="宋体" w:hAnsi="宋体" w:cs="宋体"/>
          <w:sz w:val="24"/>
        </w:rPr>
        <w:t>（4）</w:t>
      </w:r>
      <w:r>
        <w:rPr>
          <w:rFonts w:hint="eastAsia" w:asciiTheme="minorEastAsia" w:hAnsiTheme="minorEastAsia" w:cstheme="minorEastAsia"/>
          <w:sz w:val="24"/>
        </w:rPr>
        <w:t>开放静脉通路，硝酸甘油5mg+0.9%氯化钠注射液250ml静点，监测血压、心率、脉搏、心律、肺部啰音及症状变化，进行心电监测，备好除颤仪，做好心肺复苏准备。</w:t>
      </w:r>
    </w:p>
    <w:p w14:paraId="46C2FF21">
      <w:pPr>
        <w:spacing w:line="360" w:lineRule="auto"/>
        <w:ind w:firstLine="480" w:firstLineChars="200"/>
        <w:rPr>
          <w:rFonts w:asciiTheme="minorEastAsia" w:hAnsiTheme="minorEastAsia" w:cstheme="minorEastAsia"/>
          <w:sz w:val="24"/>
        </w:rPr>
      </w:pPr>
      <w:r>
        <w:rPr>
          <w:rFonts w:hint="eastAsia" w:ascii="宋体" w:hAnsi="宋体" w:cs="宋体"/>
          <w:sz w:val="24"/>
        </w:rPr>
        <w:t>（5）</w:t>
      </w:r>
      <w:r>
        <w:rPr>
          <w:rFonts w:hint="eastAsia" w:asciiTheme="minorEastAsia" w:hAnsiTheme="minorEastAsia" w:cstheme="minorEastAsia"/>
          <w:sz w:val="24"/>
        </w:rPr>
        <w:t>立即嚼服阿司匹林300mg。</w:t>
      </w:r>
    </w:p>
    <w:p w14:paraId="1836D047">
      <w:pPr>
        <w:spacing w:line="360" w:lineRule="auto"/>
        <w:ind w:firstLine="480" w:firstLineChars="200"/>
        <w:rPr>
          <w:rFonts w:asciiTheme="minorEastAsia" w:hAnsiTheme="minorEastAsia" w:cstheme="minorEastAsia"/>
          <w:sz w:val="24"/>
        </w:rPr>
      </w:pPr>
      <w:r>
        <w:rPr>
          <w:rFonts w:hint="eastAsia" w:ascii="宋体" w:hAnsi="宋体" w:cs="宋体"/>
          <w:sz w:val="24"/>
        </w:rPr>
        <w:t>（6）</w:t>
      </w:r>
      <w:r>
        <w:rPr>
          <w:rFonts w:hint="eastAsia" w:asciiTheme="minorEastAsia" w:hAnsiTheme="minorEastAsia" w:cstheme="minorEastAsia"/>
          <w:sz w:val="24"/>
        </w:rPr>
        <w:t>向家属交待病情及可能采取的治疗方案，尽快联系转往医联体上级医院。</w:t>
      </w:r>
    </w:p>
    <w:p w14:paraId="15D9365D">
      <w:pPr>
        <w:spacing w:line="360" w:lineRule="auto"/>
        <w:ind w:firstLine="480" w:firstLineChars="200"/>
        <w:rPr>
          <w:rFonts w:asciiTheme="minorEastAsia" w:hAnsiTheme="minorEastAsia" w:cstheme="minorEastAsia"/>
          <w:sz w:val="24"/>
        </w:rPr>
      </w:pPr>
      <w:r>
        <w:rPr>
          <w:rFonts w:hint="eastAsia" w:ascii="宋体" w:hAnsi="宋体" w:cs="宋体"/>
          <w:sz w:val="24"/>
        </w:rPr>
        <w:t>（7）</w:t>
      </w:r>
      <w:r>
        <w:rPr>
          <w:rFonts w:hint="eastAsia" w:asciiTheme="minorEastAsia" w:hAnsiTheme="minorEastAsia" w:cstheme="minorEastAsia"/>
          <w:sz w:val="24"/>
        </w:rPr>
        <w:t>呼叫急救车转诊，把患者送到有能力做急诊PCI的医疗机构进行救治。</w:t>
      </w:r>
    </w:p>
    <w:p w14:paraId="4E9E855C">
      <w:pPr>
        <w:spacing w:line="360" w:lineRule="auto"/>
        <w:rPr>
          <w:rFonts w:asciiTheme="minorEastAsia" w:hAnsiTheme="minorEastAsia" w:cstheme="minorEastAsia"/>
          <w:sz w:val="24"/>
        </w:rPr>
      </w:pPr>
      <w:r>
        <w:rPr>
          <w:rFonts w:asciiTheme="minorEastAsia" w:hAnsiTheme="minorEastAsia" w:cstheme="minorEastAsia"/>
          <w:b/>
          <w:bCs/>
          <w:sz w:val="24"/>
        </w:rPr>
        <w:t>3.随访记录</w:t>
      </w:r>
      <w:r>
        <w:rPr>
          <w:rFonts w:asciiTheme="minorEastAsia" w:hAnsiTheme="minorEastAsia" w:cstheme="minorEastAsia"/>
          <w:sz w:val="24"/>
        </w:rPr>
        <w:t xml:space="preserve"> </w:t>
      </w:r>
    </w:p>
    <w:p w14:paraId="56AC58E8">
      <w:pPr>
        <w:spacing w:line="360" w:lineRule="auto"/>
        <w:ind w:firstLine="560"/>
        <w:rPr>
          <w:rFonts w:asciiTheme="minorEastAsia" w:hAnsiTheme="minorEastAsia" w:cstheme="minorEastAsia"/>
          <w:sz w:val="24"/>
        </w:rPr>
      </w:pPr>
      <w:r>
        <w:rPr>
          <w:rFonts w:hint="eastAsia" w:asciiTheme="minorEastAsia" w:hAnsiTheme="minorEastAsia" w:cstheme="minorEastAsia"/>
          <w:sz w:val="24"/>
        </w:rPr>
        <w:t>急救当日电话追访患者家属，确诊后冠脉置入1个支架，CHO7.2mmol/L，TG2.7mmol/L，HDL-c2.8mmol/L，LDL-c5.9mmol/L。住院一周后出院。</w:t>
      </w:r>
    </w:p>
    <w:p w14:paraId="5CDDCAA2">
      <w:pPr>
        <w:spacing w:line="360" w:lineRule="auto"/>
        <w:ind w:firstLine="560"/>
        <w:rPr>
          <w:rFonts w:asciiTheme="minorEastAsia" w:hAnsiTheme="minorEastAsia" w:cstheme="minorEastAsia"/>
          <w:sz w:val="24"/>
        </w:rPr>
      </w:pPr>
      <w:r>
        <w:rPr>
          <w:rFonts w:hint="eastAsia" w:asciiTheme="minorEastAsia" w:hAnsiTheme="minorEastAsia" w:cstheme="minorEastAsia"/>
          <w:sz w:val="24"/>
        </w:rPr>
        <w:t>随访时间：出院后一周内完成第一次随访；每三个月随访一次。</w:t>
      </w:r>
    </w:p>
    <w:p w14:paraId="362094EC">
      <w:pPr>
        <w:spacing w:line="360" w:lineRule="auto"/>
        <w:ind w:firstLine="560"/>
        <w:rPr>
          <w:rFonts w:asciiTheme="minorEastAsia" w:hAnsiTheme="minorEastAsia" w:cstheme="minorEastAsia"/>
          <w:sz w:val="24"/>
        </w:rPr>
      </w:pPr>
      <w:r>
        <w:rPr>
          <w:rFonts w:hint="eastAsia" w:asciiTheme="minorEastAsia" w:hAnsiTheme="minorEastAsia" w:cstheme="minorEastAsia"/>
          <w:sz w:val="24"/>
        </w:rPr>
        <w:t>转归：冠脉供血改善，生命体征平稳。</w:t>
      </w:r>
    </w:p>
    <w:p w14:paraId="322FAA55">
      <w:pPr>
        <w:spacing w:line="360" w:lineRule="auto"/>
        <w:rPr>
          <w:rFonts w:asciiTheme="minorEastAsia" w:hAnsiTheme="minorEastAsia" w:cstheme="minorEastAsia"/>
          <w:b/>
          <w:bCs/>
          <w:sz w:val="24"/>
        </w:rPr>
      </w:pPr>
      <w:r>
        <w:rPr>
          <w:rFonts w:hint="eastAsia" w:asciiTheme="minorEastAsia" w:hAnsiTheme="minorEastAsia" w:cstheme="minorEastAsia"/>
          <w:b/>
          <w:bCs/>
          <w:sz w:val="24"/>
        </w:rPr>
        <w:t>4.</w:t>
      </w:r>
      <w:r>
        <w:rPr>
          <w:rFonts w:asciiTheme="minorEastAsia" w:hAnsiTheme="minorEastAsia" w:cstheme="minorEastAsia"/>
          <w:b/>
          <w:bCs/>
          <w:sz w:val="24"/>
        </w:rPr>
        <w:t>讨论</w:t>
      </w:r>
    </w:p>
    <w:p w14:paraId="61762943">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患者有高龄、高脂血症、腹型肥胖的冠心病危险因素，虽规律服用阿托伐他汀钙，但未复查，危险因素中可逆性危险因素无纠正，且为外地来京人员，照顾小孩，易出现冠状动脉供血不足加重。对于社区的外地来京老年人群，应尽快建立健康档案，对其健康状况和常见病进行评估，及早干预，并对其及家属进行相关健康教育。</w:t>
      </w:r>
    </w:p>
    <w:p w14:paraId="0671DFCE">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随着循证医学不断发展，冠心病主要危险因素中除年龄(男性&gt;55岁，女性&gt;65岁)、吸烟、高血压、血脂异常、糖代谢异常、肥胖和早发心血管病家族史外(一级亲属冠心病发病年龄&lt;50岁),还逐渐包括心理因素、不良饮食习惯、社会因素等。除年龄、性别、早发心血管病家族史外，其他危险因素可通过改变行为习惯来避免。</w:t>
      </w:r>
    </w:p>
    <w:p w14:paraId="065F1CE2">
      <w:pPr>
        <w:spacing w:line="360" w:lineRule="auto"/>
        <w:rPr>
          <w:rFonts w:asciiTheme="minorEastAsia" w:hAnsiTheme="minorEastAsia" w:cstheme="minorEastAsia"/>
          <w:b/>
          <w:sz w:val="24"/>
        </w:rPr>
      </w:pPr>
      <w:r>
        <w:rPr>
          <w:rFonts w:asciiTheme="minorEastAsia" w:hAnsiTheme="minorEastAsia" w:cstheme="minorEastAsia"/>
          <w:b/>
          <w:sz w:val="24"/>
        </w:rPr>
        <w:t>参考文献</w:t>
      </w:r>
    </w:p>
    <w:p w14:paraId="19F40020">
      <w:pPr>
        <w:spacing w:line="360" w:lineRule="auto"/>
        <w:rPr>
          <w:rFonts w:asciiTheme="minorEastAsia" w:hAnsiTheme="minorEastAsia" w:cstheme="minorEastAsia"/>
          <w:sz w:val="24"/>
        </w:rPr>
      </w:pPr>
      <w:r>
        <w:rPr>
          <w:rFonts w:hint="eastAsia" w:asciiTheme="minorEastAsia" w:hAnsiTheme="minorEastAsia" w:cstheme="minorEastAsia"/>
          <w:sz w:val="24"/>
        </w:rPr>
        <w:t>吴浩.吴永浩.屠志涛.全科临床诊疗常规 [M]. 1版.北京：中国医药科技出版社，2018：61-67.</w:t>
      </w:r>
    </w:p>
    <w:p w14:paraId="46FE0FB7">
      <w:pPr>
        <w:spacing w:line="360" w:lineRule="auto"/>
        <w:rPr>
          <w:rFonts w:asciiTheme="minorEastAsia" w:hAnsiTheme="minorEastAsia" w:cstheme="minorEastAsia"/>
          <w:b/>
          <w:bCs/>
          <w:sz w:val="24"/>
        </w:rPr>
      </w:pPr>
      <w:r>
        <w:rPr>
          <w:rFonts w:hint="eastAsia" w:asciiTheme="minorEastAsia" w:hAnsiTheme="minorEastAsia" w:cstheme="minorEastAsia"/>
          <w:b/>
          <w:bCs/>
          <w:sz w:val="24"/>
        </w:rPr>
        <w:t>5</w:t>
      </w:r>
      <w:r>
        <w:rPr>
          <w:rFonts w:asciiTheme="minorEastAsia" w:hAnsiTheme="minorEastAsia" w:cstheme="minorEastAsia"/>
          <w:b/>
          <w:bCs/>
          <w:sz w:val="24"/>
        </w:rPr>
        <w:t>.附加材料</w:t>
      </w:r>
    </w:p>
    <w:p w14:paraId="4CE5B8A7">
      <w:pPr>
        <w:spacing w:line="360" w:lineRule="auto"/>
        <w:rPr>
          <w:rFonts w:asciiTheme="minorEastAsia" w:hAnsiTheme="minorEastAsia" w:cstheme="minorEastAsia"/>
          <w:sz w:val="24"/>
        </w:rPr>
      </w:pPr>
      <w:r>
        <w:rPr>
          <w:rFonts w:hint="eastAsia" w:asciiTheme="minorEastAsia" w:hAnsiTheme="minorEastAsia" w:cstheme="minorEastAsia"/>
          <w:sz w:val="24"/>
        </w:rPr>
        <w:t>略</w:t>
      </w:r>
    </w:p>
    <w:p w14:paraId="0CFF74A3">
      <w:pPr>
        <w:pStyle w:val="2"/>
        <w:rPr>
          <w:rFonts w:asciiTheme="minorEastAsia" w:hAnsiTheme="minorEastAsia" w:cstheme="minorEastAsia"/>
          <w:szCs w:val="21"/>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8D0BABFF-4C55-4E4B-BE6E-42B1229BDEFC}"/>
  </w:font>
  <w:font w:name="黑体">
    <w:panose1 w:val="02010609060101010101"/>
    <w:charset w:val="86"/>
    <w:family w:val="auto"/>
    <w:pitch w:val="default"/>
    <w:sig w:usb0="800002BF" w:usb1="38CF7CFA" w:usb2="00000016" w:usb3="00000000" w:csb0="00040001" w:csb1="00000000"/>
    <w:embedRegular r:id="rId2" w:fontKey="{D0B941C1-1596-4B8F-BDA5-8F05574414E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仿宋_GB2312">
    <w:panose1 w:val="02000000000000000000"/>
    <w:charset w:val="86"/>
    <w:family w:val="auto"/>
    <w:pitch w:val="default"/>
    <w:sig w:usb0="A00002BF" w:usb1="184F6CFA" w:usb2="00000012" w:usb3="00000000" w:csb0="00040001" w:csb1="00000000"/>
    <w:embedRegular r:id="rId3" w:fontKey="{C7DDD976-03EC-45A1-B665-F65A32650DCB}"/>
  </w:font>
  <w:font w:name="方正小标宋简体">
    <w:panose1 w:val="02000000000000000000"/>
    <w:charset w:val="86"/>
    <w:family w:val="auto"/>
    <w:pitch w:val="default"/>
    <w:sig w:usb0="00000001" w:usb1="08000000" w:usb2="00000000" w:usb3="00000000" w:csb0="00040000" w:csb1="00000000"/>
    <w:embedRegular r:id="rId4" w:fontKey="{C11DB9B5-C31E-461B-965E-C489BDA49ED5}"/>
  </w:font>
  <w:font w:name="微软雅黑">
    <w:panose1 w:val="020B0503020204020204"/>
    <w:charset w:val="86"/>
    <w:family w:val="swiss"/>
    <w:pitch w:val="default"/>
    <w:sig w:usb0="80000287" w:usb1="2ACF3C50" w:usb2="00000016" w:usb3="00000000" w:csb0="0004001F" w:csb1="00000000"/>
    <w:embedRegular r:id="rId5" w:fontKey="{1AACFAFF-4B15-4169-A188-30A7283400E2}"/>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14A218"/>
    <w:multiLevelType w:val="singleLevel"/>
    <w:tmpl w:val="CF14A218"/>
    <w:lvl w:ilvl="0" w:tentative="0">
      <w:start w:val="1"/>
      <w:numFmt w:val="decimal"/>
      <w:lvlText w:val="[%1]"/>
      <w:lvlJc w:val="left"/>
      <w:pPr>
        <w:tabs>
          <w:tab w:val="left" w:pos="2014"/>
        </w:tabs>
      </w:pPr>
    </w:lvl>
  </w:abstractNum>
  <w:abstractNum w:abstractNumId="1">
    <w:nsid w:val="DC4B955D"/>
    <w:multiLevelType w:val="multilevel"/>
    <w:tmpl w:val="DC4B955D"/>
    <w:lvl w:ilvl="0" w:tentative="0">
      <w:start w:val="1"/>
      <w:numFmt w:val="decimal"/>
      <w:lvlText w:val="%1."/>
      <w:lvlJc w:val="left"/>
      <w:pPr>
        <w:tabs>
          <w:tab w:val="left" w:pos="312"/>
        </w:tabs>
      </w:pPr>
    </w:lvl>
    <w:lvl w:ilvl="1" w:tentative="0">
      <w:start w:val="1"/>
      <w:numFmt w:val="decimal"/>
      <w:suff w:val="space"/>
      <w:lvlText w:val="%1.%2"/>
      <w:lvlJc w:val="left"/>
      <w:pPr>
        <w:ind w:left="0" w:firstLine="0"/>
      </w:pPr>
      <w:rPr>
        <w:rFonts w:hint="default"/>
      </w:rPr>
    </w:lvl>
    <w:lvl w:ilvl="2" w:tentative="0">
      <w:start w:val="1"/>
      <w:numFmt w:val="decimal"/>
      <w:suff w:val="space"/>
      <w:lvlText w:val="%1.%2.%3"/>
      <w:lvlJc w:val="left"/>
      <w:pPr>
        <w:ind w:left="0" w:firstLine="0"/>
      </w:pPr>
      <w:rPr>
        <w:rFonts w:hint="default"/>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abstractNum w:abstractNumId="2">
    <w:nsid w:val="663F4FCD"/>
    <w:multiLevelType w:val="multilevel"/>
    <w:tmpl w:val="663F4FCD"/>
    <w:lvl w:ilvl="0" w:tentative="0">
      <w:start w:val="1"/>
      <w:numFmt w:val="decimal"/>
      <w:lvlText w:val="%1."/>
      <w:lvlJc w:val="left"/>
      <w:pPr>
        <w:ind w:left="360" w:hanging="360"/>
      </w:pPr>
      <w:rPr>
        <w:rFonts w:hint="default"/>
      </w:rPr>
    </w:lvl>
    <w:lvl w:ilvl="1" w:tentative="0">
      <w:start w:val="2"/>
      <w:numFmt w:val="decimal"/>
      <w:isLgl/>
      <w:lvlText w:val="%1.%2"/>
      <w:lvlJc w:val="left"/>
      <w:pPr>
        <w:ind w:left="790" w:hanging="372"/>
      </w:pPr>
      <w:rPr>
        <w:rFonts w:hint="default"/>
      </w:rPr>
    </w:lvl>
    <w:lvl w:ilvl="2" w:tentative="0">
      <w:start w:val="1"/>
      <w:numFmt w:val="decimal"/>
      <w:isLgl/>
      <w:lvlText w:val="%1.%2.%3"/>
      <w:lvlJc w:val="left"/>
      <w:pPr>
        <w:ind w:left="1556" w:hanging="720"/>
      </w:pPr>
      <w:rPr>
        <w:rFonts w:hint="default"/>
      </w:rPr>
    </w:lvl>
    <w:lvl w:ilvl="3" w:tentative="0">
      <w:start w:val="1"/>
      <w:numFmt w:val="decimal"/>
      <w:isLgl/>
      <w:lvlText w:val="%1.%2.%3.%4"/>
      <w:lvlJc w:val="left"/>
      <w:pPr>
        <w:ind w:left="1974" w:hanging="720"/>
      </w:pPr>
      <w:rPr>
        <w:rFonts w:hint="default"/>
      </w:rPr>
    </w:lvl>
    <w:lvl w:ilvl="4" w:tentative="0">
      <w:start w:val="1"/>
      <w:numFmt w:val="decimal"/>
      <w:isLgl/>
      <w:lvlText w:val="%1.%2.%3.%4.%5"/>
      <w:lvlJc w:val="left"/>
      <w:pPr>
        <w:ind w:left="2752" w:hanging="1080"/>
      </w:pPr>
      <w:rPr>
        <w:rFonts w:hint="default"/>
      </w:rPr>
    </w:lvl>
    <w:lvl w:ilvl="5" w:tentative="0">
      <w:start w:val="1"/>
      <w:numFmt w:val="decimal"/>
      <w:isLgl/>
      <w:lvlText w:val="%1.%2.%3.%4.%5.%6"/>
      <w:lvlJc w:val="left"/>
      <w:pPr>
        <w:ind w:left="3170" w:hanging="1080"/>
      </w:pPr>
      <w:rPr>
        <w:rFonts w:hint="default"/>
      </w:rPr>
    </w:lvl>
    <w:lvl w:ilvl="6" w:tentative="0">
      <w:start w:val="1"/>
      <w:numFmt w:val="decimal"/>
      <w:isLgl/>
      <w:lvlText w:val="%1.%2.%3.%4.%5.%6.%7"/>
      <w:lvlJc w:val="left"/>
      <w:pPr>
        <w:ind w:left="3948" w:hanging="1440"/>
      </w:pPr>
      <w:rPr>
        <w:rFonts w:hint="default"/>
      </w:rPr>
    </w:lvl>
    <w:lvl w:ilvl="7" w:tentative="0">
      <w:start w:val="1"/>
      <w:numFmt w:val="decimal"/>
      <w:isLgl/>
      <w:lvlText w:val="%1.%2.%3.%4.%5.%6.%7.%8"/>
      <w:lvlJc w:val="left"/>
      <w:pPr>
        <w:ind w:left="4366" w:hanging="1440"/>
      </w:pPr>
      <w:rPr>
        <w:rFonts w:hint="default"/>
      </w:rPr>
    </w:lvl>
    <w:lvl w:ilvl="8" w:tentative="0">
      <w:start w:val="1"/>
      <w:numFmt w:val="decimal"/>
      <w:isLgl/>
      <w:lvlText w:val="%1.%2.%3.%4.%5.%6.%7.%8.%9"/>
      <w:lvlJc w:val="left"/>
      <w:pPr>
        <w:ind w:left="5144" w:hanging="1800"/>
      </w:pPr>
      <w:rPr>
        <w:rFont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ThmNjAzMWJlZjFkMmQwODUwMTJkYzE2ODFiYmFmYTcifQ=="/>
  </w:docVars>
  <w:rsids>
    <w:rsidRoot w:val="00172A27"/>
    <w:rsid w:val="00004FAF"/>
    <w:rsid w:val="00052763"/>
    <w:rsid w:val="00055047"/>
    <w:rsid w:val="00072B58"/>
    <w:rsid w:val="000767C1"/>
    <w:rsid w:val="00086959"/>
    <w:rsid w:val="000879FF"/>
    <w:rsid w:val="000965D4"/>
    <w:rsid w:val="0009798A"/>
    <w:rsid w:val="000A2E80"/>
    <w:rsid w:val="000F24C1"/>
    <w:rsid w:val="000F69D0"/>
    <w:rsid w:val="00102878"/>
    <w:rsid w:val="00104138"/>
    <w:rsid w:val="00110316"/>
    <w:rsid w:val="0011397C"/>
    <w:rsid w:val="0012314D"/>
    <w:rsid w:val="00127091"/>
    <w:rsid w:val="00134FA3"/>
    <w:rsid w:val="001378AB"/>
    <w:rsid w:val="00137B77"/>
    <w:rsid w:val="00172A27"/>
    <w:rsid w:val="0018026D"/>
    <w:rsid w:val="00187963"/>
    <w:rsid w:val="001A01B7"/>
    <w:rsid w:val="001B3298"/>
    <w:rsid w:val="001B4469"/>
    <w:rsid w:val="001C01A1"/>
    <w:rsid w:val="001C1221"/>
    <w:rsid w:val="001E5132"/>
    <w:rsid w:val="001E5EFF"/>
    <w:rsid w:val="002157DF"/>
    <w:rsid w:val="00223323"/>
    <w:rsid w:val="002270F1"/>
    <w:rsid w:val="00242859"/>
    <w:rsid w:val="0025799F"/>
    <w:rsid w:val="00261C03"/>
    <w:rsid w:val="0027279B"/>
    <w:rsid w:val="00286AF3"/>
    <w:rsid w:val="0029301C"/>
    <w:rsid w:val="002E19EE"/>
    <w:rsid w:val="002E6648"/>
    <w:rsid w:val="0031373F"/>
    <w:rsid w:val="003215B5"/>
    <w:rsid w:val="00347362"/>
    <w:rsid w:val="0037347E"/>
    <w:rsid w:val="0038523E"/>
    <w:rsid w:val="00393C3D"/>
    <w:rsid w:val="003A785A"/>
    <w:rsid w:val="003D3EE2"/>
    <w:rsid w:val="0042416B"/>
    <w:rsid w:val="004636E4"/>
    <w:rsid w:val="00466DAE"/>
    <w:rsid w:val="00491CA8"/>
    <w:rsid w:val="00494CB5"/>
    <w:rsid w:val="004A2038"/>
    <w:rsid w:val="004A282D"/>
    <w:rsid w:val="004A5173"/>
    <w:rsid w:val="004A6C97"/>
    <w:rsid w:val="004F5BBF"/>
    <w:rsid w:val="004F5E02"/>
    <w:rsid w:val="00507959"/>
    <w:rsid w:val="00511D2D"/>
    <w:rsid w:val="00513D16"/>
    <w:rsid w:val="00522352"/>
    <w:rsid w:val="00524F6A"/>
    <w:rsid w:val="005302F1"/>
    <w:rsid w:val="00534FCC"/>
    <w:rsid w:val="005429AF"/>
    <w:rsid w:val="0054667F"/>
    <w:rsid w:val="00550DCC"/>
    <w:rsid w:val="00553D65"/>
    <w:rsid w:val="00560C37"/>
    <w:rsid w:val="00562349"/>
    <w:rsid w:val="00581FF6"/>
    <w:rsid w:val="00585C8E"/>
    <w:rsid w:val="00592B54"/>
    <w:rsid w:val="005A1D90"/>
    <w:rsid w:val="005C1C78"/>
    <w:rsid w:val="005C32F2"/>
    <w:rsid w:val="005D5D57"/>
    <w:rsid w:val="005E04A8"/>
    <w:rsid w:val="005F5C4B"/>
    <w:rsid w:val="005F5D0C"/>
    <w:rsid w:val="006018DD"/>
    <w:rsid w:val="00623A93"/>
    <w:rsid w:val="006307E6"/>
    <w:rsid w:val="00635910"/>
    <w:rsid w:val="006479BE"/>
    <w:rsid w:val="00652646"/>
    <w:rsid w:val="00677209"/>
    <w:rsid w:val="00677A4D"/>
    <w:rsid w:val="00685948"/>
    <w:rsid w:val="0068699B"/>
    <w:rsid w:val="0069289A"/>
    <w:rsid w:val="006D0DCF"/>
    <w:rsid w:val="00727EE2"/>
    <w:rsid w:val="00732201"/>
    <w:rsid w:val="007352DB"/>
    <w:rsid w:val="007376F9"/>
    <w:rsid w:val="0075613D"/>
    <w:rsid w:val="00770E31"/>
    <w:rsid w:val="007D31F4"/>
    <w:rsid w:val="007D6670"/>
    <w:rsid w:val="00807B59"/>
    <w:rsid w:val="00821462"/>
    <w:rsid w:val="008235EB"/>
    <w:rsid w:val="00831F67"/>
    <w:rsid w:val="0083670C"/>
    <w:rsid w:val="008725E9"/>
    <w:rsid w:val="00884808"/>
    <w:rsid w:val="0088591B"/>
    <w:rsid w:val="00895FB3"/>
    <w:rsid w:val="008C24B7"/>
    <w:rsid w:val="008F03B2"/>
    <w:rsid w:val="00920E5C"/>
    <w:rsid w:val="009442C9"/>
    <w:rsid w:val="00947D26"/>
    <w:rsid w:val="009514D3"/>
    <w:rsid w:val="0095570A"/>
    <w:rsid w:val="009717D7"/>
    <w:rsid w:val="00975C64"/>
    <w:rsid w:val="00983741"/>
    <w:rsid w:val="0099019A"/>
    <w:rsid w:val="009D1020"/>
    <w:rsid w:val="009E5947"/>
    <w:rsid w:val="009F0AC9"/>
    <w:rsid w:val="009F1A9A"/>
    <w:rsid w:val="00A016B9"/>
    <w:rsid w:val="00A01DEA"/>
    <w:rsid w:val="00A1572B"/>
    <w:rsid w:val="00A255F6"/>
    <w:rsid w:val="00A310E8"/>
    <w:rsid w:val="00A3207C"/>
    <w:rsid w:val="00A415B3"/>
    <w:rsid w:val="00A53348"/>
    <w:rsid w:val="00A602E9"/>
    <w:rsid w:val="00A6749B"/>
    <w:rsid w:val="00A722F8"/>
    <w:rsid w:val="00A879F2"/>
    <w:rsid w:val="00AA020F"/>
    <w:rsid w:val="00AA269F"/>
    <w:rsid w:val="00AA4113"/>
    <w:rsid w:val="00AB4B98"/>
    <w:rsid w:val="00AB6604"/>
    <w:rsid w:val="00AB6B55"/>
    <w:rsid w:val="00AB7480"/>
    <w:rsid w:val="00AC5748"/>
    <w:rsid w:val="00AD1A48"/>
    <w:rsid w:val="00AF24A2"/>
    <w:rsid w:val="00AF596A"/>
    <w:rsid w:val="00AF72F9"/>
    <w:rsid w:val="00B34D49"/>
    <w:rsid w:val="00B42F9B"/>
    <w:rsid w:val="00B47A68"/>
    <w:rsid w:val="00B7217D"/>
    <w:rsid w:val="00B72BBF"/>
    <w:rsid w:val="00BA618A"/>
    <w:rsid w:val="00BB542D"/>
    <w:rsid w:val="00BD388F"/>
    <w:rsid w:val="00BD7FF9"/>
    <w:rsid w:val="00BE1582"/>
    <w:rsid w:val="00C00C80"/>
    <w:rsid w:val="00C00F24"/>
    <w:rsid w:val="00C1022B"/>
    <w:rsid w:val="00C242B4"/>
    <w:rsid w:val="00C51FBF"/>
    <w:rsid w:val="00C5389C"/>
    <w:rsid w:val="00C639EA"/>
    <w:rsid w:val="00C65763"/>
    <w:rsid w:val="00C6577F"/>
    <w:rsid w:val="00C67843"/>
    <w:rsid w:val="00C67E16"/>
    <w:rsid w:val="00C85B4F"/>
    <w:rsid w:val="00C87EEE"/>
    <w:rsid w:val="00C90DDE"/>
    <w:rsid w:val="00CA4EEC"/>
    <w:rsid w:val="00CB658E"/>
    <w:rsid w:val="00CD026B"/>
    <w:rsid w:val="00CE084D"/>
    <w:rsid w:val="00D10932"/>
    <w:rsid w:val="00D1310F"/>
    <w:rsid w:val="00D547F6"/>
    <w:rsid w:val="00D677A5"/>
    <w:rsid w:val="00D81BE1"/>
    <w:rsid w:val="00D82BFC"/>
    <w:rsid w:val="00D97BB9"/>
    <w:rsid w:val="00DB29E6"/>
    <w:rsid w:val="00DC0405"/>
    <w:rsid w:val="00DD59AD"/>
    <w:rsid w:val="00DF1DEA"/>
    <w:rsid w:val="00E2085E"/>
    <w:rsid w:val="00E329CC"/>
    <w:rsid w:val="00E3336C"/>
    <w:rsid w:val="00E608DF"/>
    <w:rsid w:val="00E72779"/>
    <w:rsid w:val="00EB5C4C"/>
    <w:rsid w:val="00EC1AF8"/>
    <w:rsid w:val="00EC6513"/>
    <w:rsid w:val="00EC7C06"/>
    <w:rsid w:val="00EE2EB0"/>
    <w:rsid w:val="00F12B6B"/>
    <w:rsid w:val="00F12C34"/>
    <w:rsid w:val="00F14E93"/>
    <w:rsid w:val="00F340FD"/>
    <w:rsid w:val="00F552F1"/>
    <w:rsid w:val="00F56404"/>
    <w:rsid w:val="00F765D2"/>
    <w:rsid w:val="00FD3E78"/>
    <w:rsid w:val="013F5301"/>
    <w:rsid w:val="01706D18"/>
    <w:rsid w:val="019035AD"/>
    <w:rsid w:val="01B22CCC"/>
    <w:rsid w:val="01B544D6"/>
    <w:rsid w:val="01FC3303"/>
    <w:rsid w:val="01FE02E4"/>
    <w:rsid w:val="021A30BC"/>
    <w:rsid w:val="02874F08"/>
    <w:rsid w:val="02B60EEA"/>
    <w:rsid w:val="02DF2229"/>
    <w:rsid w:val="02DF66D5"/>
    <w:rsid w:val="035B5A0A"/>
    <w:rsid w:val="036A7C06"/>
    <w:rsid w:val="044606D4"/>
    <w:rsid w:val="04CF3292"/>
    <w:rsid w:val="04D6785C"/>
    <w:rsid w:val="057430A8"/>
    <w:rsid w:val="057A6E44"/>
    <w:rsid w:val="05F8628A"/>
    <w:rsid w:val="060E798A"/>
    <w:rsid w:val="06515AD7"/>
    <w:rsid w:val="06982F8E"/>
    <w:rsid w:val="070B09A0"/>
    <w:rsid w:val="082408AD"/>
    <w:rsid w:val="086B1580"/>
    <w:rsid w:val="089317F5"/>
    <w:rsid w:val="08AD757C"/>
    <w:rsid w:val="08E46CD7"/>
    <w:rsid w:val="0918327D"/>
    <w:rsid w:val="09274CBC"/>
    <w:rsid w:val="09354FE9"/>
    <w:rsid w:val="09371189"/>
    <w:rsid w:val="09D27585"/>
    <w:rsid w:val="0A4E1F87"/>
    <w:rsid w:val="0A526B9E"/>
    <w:rsid w:val="0BFB0E95"/>
    <w:rsid w:val="0C1E59B3"/>
    <w:rsid w:val="0D154D0B"/>
    <w:rsid w:val="0E6B4505"/>
    <w:rsid w:val="0F35160F"/>
    <w:rsid w:val="10107404"/>
    <w:rsid w:val="10B44515"/>
    <w:rsid w:val="10EA5510"/>
    <w:rsid w:val="116250A6"/>
    <w:rsid w:val="11BE1FC2"/>
    <w:rsid w:val="11D40A05"/>
    <w:rsid w:val="12623C79"/>
    <w:rsid w:val="12BD2E35"/>
    <w:rsid w:val="12FF3359"/>
    <w:rsid w:val="135A75FD"/>
    <w:rsid w:val="13895C82"/>
    <w:rsid w:val="139744E1"/>
    <w:rsid w:val="1409433C"/>
    <w:rsid w:val="14E231D5"/>
    <w:rsid w:val="15EF5B45"/>
    <w:rsid w:val="163D05B1"/>
    <w:rsid w:val="170E6BE3"/>
    <w:rsid w:val="174963A8"/>
    <w:rsid w:val="179A024C"/>
    <w:rsid w:val="196F5F43"/>
    <w:rsid w:val="19903193"/>
    <w:rsid w:val="19B32ED1"/>
    <w:rsid w:val="1A452545"/>
    <w:rsid w:val="1A4B1C3D"/>
    <w:rsid w:val="1A62674E"/>
    <w:rsid w:val="1A871DAE"/>
    <w:rsid w:val="1AFD478F"/>
    <w:rsid w:val="1B6659EA"/>
    <w:rsid w:val="1BD11C1A"/>
    <w:rsid w:val="1D154A83"/>
    <w:rsid w:val="1DF30A07"/>
    <w:rsid w:val="1E410B1D"/>
    <w:rsid w:val="1E780D42"/>
    <w:rsid w:val="1EC512EE"/>
    <w:rsid w:val="1ECA637A"/>
    <w:rsid w:val="1ECD4CB6"/>
    <w:rsid w:val="1F2B440E"/>
    <w:rsid w:val="2036356A"/>
    <w:rsid w:val="20E94502"/>
    <w:rsid w:val="218A4404"/>
    <w:rsid w:val="21A90C26"/>
    <w:rsid w:val="224340BE"/>
    <w:rsid w:val="22501C38"/>
    <w:rsid w:val="225D570B"/>
    <w:rsid w:val="22ED6826"/>
    <w:rsid w:val="233438CE"/>
    <w:rsid w:val="236A19AA"/>
    <w:rsid w:val="23753007"/>
    <w:rsid w:val="245C422D"/>
    <w:rsid w:val="24F47AA5"/>
    <w:rsid w:val="254409CC"/>
    <w:rsid w:val="258379D1"/>
    <w:rsid w:val="25840038"/>
    <w:rsid w:val="2597597D"/>
    <w:rsid w:val="262D2C5E"/>
    <w:rsid w:val="26494983"/>
    <w:rsid w:val="268646B2"/>
    <w:rsid w:val="269936B3"/>
    <w:rsid w:val="26C248DC"/>
    <w:rsid w:val="26ED1ECE"/>
    <w:rsid w:val="26F30130"/>
    <w:rsid w:val="2741433C"/>
    <w:rsid w:val="275B1491"/>
    <w:rsid w:val="275C511B"/>
    <w:rsid w:val="275E698F"/>
    <w:rsid w:val="27F8470B"/>
    <w:rsid w:val="2862346D"/>
    <w:rsid w:val="28DB6959"/>
    <w:rsid w:val="291C451E"/>
    <w:rsid w:val="29716BB5"/>
    <w:rsid w:val="29843ABF"/>
    <w:rsid w:val="299B0671"/>
    <w:rsid w:val="2A441194"/>
    <w:rsid w:val="2A460ED0"/>
    <w:rsid w:val="2A4C5D16"/>
    <w:rsid w:val="2A5700DD"/>
    <w:rsid w:val="2A8B7D8F"/>
    <w:rsid w:val="2AA25FDC"/>
    <w:rsid w:val="2B3D28CF"/>
    <w:rsid w:val="2B5C155A"/>
    <w:rsid w:val="2BE675F9"/>
    <w:rsid w:val="2BF765B9"/>
    <w:rsid w:val="2C6C77BC"/>
    <w:rsid w:val="2C706B52"/>
    <w:rsid w:val="2C7824D0"/>
    <w:rsid w:val="2C9E4B01"/>
    <w:rsid w:val="2CB22200"/>
    <w:rsid w:val="2D08551C"/>
    <w:rsid w:val="2D412C45"/>
    <w:rsid w:val="2D43398B"/>
    <w:rsid w:val="2DF8096B"/>
    <w:rsid w:val="2F8D140F"/>
    <w:rsid w:val="2FAE4D07"/>
    <w:rsid w:val="30026B49"/>
    <w:rsid w:val="30985DB2"/>
    <w:rsid w:val="30BC2604"/>
    <w:rsid w:val="30CA6598"/>
    <w:rsid w:val="31EB2C4B"/>
    <w:rsid w:val="32936F65"/>
    <w:rsid w:val="32A65113"/>
    <w:rsid w:val="32C310A9"/>
    <w:rsid w:val="3310509D"/>
    <w:rsid w:val="33281146"/>
    <w:rsid w:val="33501A44"/>
    <w:rsid w:val="337A7B2B"/>
    <w:rsid w:val="34653540"/>
    <w:rsid w:val="34AC3441"/>
    <w:rsid w:val="34E114AB"/>
    <w:rsid w:val="35256695"/>
    <w:rsid w:val="357922C6"/>
    <w:rsid w:val="35904473"/>
    <w:rsid w:val="363C49D4"/>
    <w:rsid w:val="371020DF"/>
    <w:rsid w:val="3763076F"/>
    <w:rsid w:val="37F96727"/>
    <w:rsid w:val="384145B7"/>
    <w:rsid w:val="38644E87"/>
    <w:rsid w:val="39646410"/>
    <w:rsid w:val="397749DD"/>
    <w:rsid w:val="3A1155D6"/>
    <w:rsid w:val="3B2D16BC"/>
    <w:rsid w:val="3B7C1569"/>
    <w:rsid w:val="3BB27D22"/>
    <w:rsid w:val="3BD81D34"/>
    <w:rsid w:val="3C410FDA"/>
    <w:rsid w:val="3C455801"/>
    <w:rsid w:val="3C510B90"/>
    <w:rsid w:val="3C613AD6"/>
    <w:rsid w:val="3C6A0E70"/>
    <w:rsid w:val="3CDD1374"/>
    <w:rsid w:val="3CF24727"/>
    <w:rsid w:val="3DA55B59"/>
    <w:rsid w:val="3E0534CC"/>
    <w:rsid w:val="3EAF17AB"/>
    <w:rsid w:val="3EE40F22"/>
    <w:rsid w:val="3F26315B"/>
    <w:rsid w:val="3FEA4B6B"/>
    <w:rsid w:val="400630AD"/>
    <w:rsid w:val="402770FA"/>
    <w:rsid w:val="4067547A"/>
    <w:rsid w:val="41686388"/>
    <w:rsid w:val="41BC44A4"/>
    <w:rsid w:val="423039FB"/>
    <w:rsid w:val="424E02B6"/>
    <w:rsid w:val="429A1EFB"/>
    <w:rsid w:val="432653D7"/>
    <w:rsid w:val="43AB19E1"/>
    <w:rsid w:val="43C41B69"/>
    <w:rsid w:val="43D46F74"/>
    <w:rsid w:val="444A79E6"/>
    <w:rsid w:val="447D3CCE"/>
    <w:rsid w:val="449D46C1"/>
    <w:rsid w:val="44C23C4C"/>
    <w:rsid w:val="45970BA7"/>
    <w:rsid w:val="45C80FB7"/>
    <w:rsid w:val="46421C6E"/>
    <w:rsid w:val="46983462"/>
    <w:rsid w:val="472C1C83"/>
    <w:rsid w:val="4742A44F"/>
    <w:rsid w:val="47CC4FC5"/>
    <w:rsid w:val="47F4613F"/>
    <w:rsid w:val="48104BF7"/>
    <w:rsid w:val="481930B7"/>
    <w:rsid w:val="484F017A"/>
    <w:rsid w:val="48837304"/>
    <w:rsid w:val="48C63073"/>
    <w:rsid w:val="49C80863"/>
    <w:rsid w:val="4A224382"/>
    <w:rsid w:val="4A257C74"/>
    <w:rsid w:val="4A945871"/>
    <w:rsid w:val="4C765AEC"/>
    <w:rsid w:val="4CB40DA0"/>
    <w:rsid w:val="4CBB3930"/>
    <w:rsid w:val="4D1C45DA"/>
    <w:rsid w:val="4D802BF3"/>
    <w:rsid w:val="4DAB7A03"/>
    <w:rsid w:val="4E0E3D3E"/>
    <w:rsid w:val="4E3A5FF1"/>
    <w:rsid w:val="4E8B63CE"/>
    <w:rsid w:val="4F2A25ED"/>
    <w:rsid w:val="4F3B0588"/>
    <w:rsid w:val="4F3B438F"/>
    <w:rsid w:val="4F882755"/>
    <w:rsid w:val="4FD0390B"/>
    <w:rsid w:val="4FDF0CC4"/>
    <w:rsid w:val="502F08B0"/>
    <w:rsid w:val="507018B9"/>
    <w:rsid w:val="50F40E22"/>
    <w:rsid w:val="513A15A4"/>
    <w:rsid w:val="515E0096"/>
    <w:rsid w:val="51D4322F"/>
    <w:rsid w:val="52A46AB9"/>
    <w:rsid w:val="52BB2D69"/>
    <w:rsid w:val="53616A49"/>
    <w:rsid w:val="541B58AA"/>
    <w:rsid w:val="542F5BE6"/>
    <w:rsid w:val="543F679C"/>
    <w:rsid w:val="54FE0E09"/>
    <w:rsid w:val="55096F31"/>
    <w:rsid w:val="555156DD"/>
    <w:rsid w:val="55CE593F"/>
    <w:rsid w:val="55DC2DB4"/>
    <w:rsid w:val="55E44582"/>
    <w:rsid w:val="55F46F62"/>
    <w:rsid w:val="56566F3F"/>
    <w:rsid w:val="56951CC9"/>
    <w:rsid w:val="56C77FD2"/>
    <w:rsid w:val="57066BC8"/>
    <w:rsid w:val="58735591"/>
    <w:rsid w:val="58765561"/>
    <w:rsid w:val="58F90E22"/>
    <w:rsid w:val="59271787"/>
    <w:rsid w:val="593C749D"/>
    <w:rsid w:val="5A590BFD"/>
    <w:rsid w:val="5B0846B0"/>
    <w:rsid w:val="5B16393D"/>
    <w:rsid w:val="5B1D171A"/>
    <w:rsid w:val="5B413077"/>
    <w:rsid w:val="5B9B04C5"/>
    <w:rsid w:val="5BAF7DDE"/>
    <w:rsid w:val="5BBE4523"/>
    <w:rsid w:val="5BC36B85"/>
    <w:rsid w:val="5BFA0A12"/>
    <w:rsid w:val="5C2C3269"/>
    <w:rsid w:val="5C66681F"/>
    <w:rsid w:val="5C6C2E07"/>
    <w:rsid w:val="5CFC5BB9"/>
    <w:rsid w:val="5DB737ED"/>
    <w:rsid w:val="5E8B590B"/>
    <w:rsid w:val="5ED33A11"/>
    <w:rsid w:val="5F3FE0CB"/>
    <w:rsid w:val="5F83243D"/>
    <w:rsid w:val="5FAC5592"/>
    <w:rsid w:val="5FFF58EB"/>
    <w:rsid w:val="607223D2"/>
    <w:rsid w:val="60A76C64"/>
    <w:rsid w:val="60C75D57"/>
    <w:rsid w:val="61472BE1"/>
    <w:rsid w:val="6177672A"/>
    <w:rsid w:val="61C20170"/>
    <w:rsid w:val="61FB5143"/>
    <w:rsid w:val="6235761E"/>
    <w:rsid w:val="62491FDB"/>
    <w:rsid w:val="625C6AFA"/>
    <w:rsid w:val="628309E9"/>
    <w:rsid w:val="628D2545"/>
    <w:rsid w:val="6309613E"/>
    <w:rsid w:val="63CB79FF"/>
    <w:rsid w:val="64260727"/>
    <w:rsid w:val="64655C0C"/>
    <w:rsid w:val="648B1BA6"/>
    <w:rsid w:val="64F114AF"/>
    <w:rsid w:val="65335CCC"/>
    <w:rsid w:val="653A68E5"/>
    <w:rsid w:val="65B5185E"/>
    <w:rsid w:val="65BF05DB"/>
    <w:rsid w:val="65DD6A95"/>
    <w:rsid w:val="65E41493"/>
    <w:rsid w:val="661A0C88"/>
    <w:rsid w:val="6624534B"/>
    <w:rsid w:val="66F15324"/>
    <w:rsid w:val="66FB4E8D"/>
    <w:rsid w:val="67133F14"/>
    <w:rsid w:val="67307F59"/>
    <w:rsid w:val="67A309B2"/>
    <w:rsid w:val="67E20E57"/>
    <w:rsid w:val="67FA4AB9"/>
    <w:rsid w:val="686E69AA"/>
    <w:rsid w:val="68AC2484"/>
    <w:rsid w:val="68E62BC1"/>
    <w:rsid w:val="69683FC4"/>
    <w:rsid w:val="6A0D03BF"/>
    <w:rsid w:val="6AD63B5B"/>
    <w:rsid w:val="6B0F5EA0"/>
    <w:rsid w:val="6B3B510A"/>
    <w:rsid w:val="6B7710E0"/>
    <w:rsid w:val="6BAFB3B9"/>
    <w:rsid w:val="6C053D58"/>
    <w:rsid w:val="6C31046F"/>
    <w:rsid w:val="6C3F06C7"/>
    <w:rsid w:val="6C770FC6"/>
    <w:rsid w:val="6C975315"/>
    <w:rsid w:val="6CBE782C"/>
    <w:rsid w:val="6CCA14B3"/>
    <w:rsid w:val="6D875244"/>
    <w:rsid w:val="6D950CE2"/>
    <w:rsid w:val="6DFE028F"/>
    <w:rsid w:val="6E3F32E5"/>
    <w:rsid w:val="6E8C5C22"/>
    <w:rsid w:val="6EEA447D"/>
    <w:rsid w:val="6F391AB2"/>
    <w:rsid w:val="6F4B3923"/>
    <w:rsid w:val="6F540863"/>
    <w:rsid w:val="6F544310"/>
    <w:rsid w:val="6F817F60"/>
    <w:rsid w:val="705A1882"/>
    <w:rsid w:val="709B2908"/>
    <w:rsid w:val="710336B1"/>
    <w:rsid w:val="7148186C"/>
    <w:rsid w:val="71946A81"/>
    <w:rsid w:val="71A0066E"/>
    <w:rsid w:val="71F66B6F"/>
    <w:rsid w:val="720E496E"/>
    <w:rsid w:val="72182606"/>
    <w:rsid w:val="729C1261"/>
    <w:rsid w:val="73E86D3D"/>
    <w:rsid w:val="74250C78"/>
    <w:rsid w:val="7446667B"/>
    <w:rsid w:val="749275BA"/>
    <w:rsid w:val="749F016D"/>
    <w:rsid w:val="74A333EB"/>
    <w:rsid w:val="74F0628F"/>
    <w:rsid w:val="75EC2776"/>
    <w:rsid w:val="760E399E"/>
    <w:rsid w:val="76386704"/>
    <w:rsid w:val="763C11F7"/>
    <w:rsid w:val="764B79C3"/>
    <w:rsid w:val="76B7681A"/>
    <w:rsid w:val="773850A9"/>
    <w:rsid w:val="77C23803"/>
    <w:rsid w:val="77EEB85F"/>
    <w:rsid w:val="784C774C"/>
    <w:rsid w:val="78B54924"/>
    <w:rsid w:val="78C51F9F"/>
    <w:rsid w:val="78F4078B"/>
    <w:rsid w:val="79D42C06"/>
    <w:rsid w:val="7A246BA6"/>
    <w:rsid w:val="7AF24900"/>
    <w:rsid w:val="7B7B73FA"/>
    <w:rsid w:val="7C616994"/>
    <w:rsid w:val="7CB95D2B"/>
    <w:rsid w:val="7CFE77F4"/>
    <w:rsid w:val="7D0F24E3"/>
    <w:rsid w:val="7D2E6D36"/>
    <w:rsid w:val="7D627BB2"/>
    <w:rsid w:val="7DC863B2"/>
    <w:rsid w:val="7DCD09CB"/>
    <w:rsid w:val="7E9668BE"/>
    <w:rsid w:val="7EB96B57"/>
    <w:rsid w:val="7EDFBBCF"/>
    <w:rsid w:val="7EFF71AF"/>
    <w:rsid w:val="7F6734B5"/>
    <w:rsid w:val="7F836E37"/>
    <w:rsid w:val="7FDA5D2C"/>
    <w:rsid w:val="7FDDA31D"/>
    <w:rsid w:val="7FF6753E"/>
    <w:rsid w:val="BBBF7D8C"/>
    <w:rsid w:val="BD8F8C5B"/>
    <w:rsid w:val="BFAE7A79"/>
    <w:rsid w:val="BFBAA59C"/>
    <w:rsid w:val="D4FF7418"/>
    <w:rsid w:val="D9EF3F54"/>
    <w:rsid w:val="DEFDA33C"/>
    <w:rsid w:val="DFFF8EBC"/>
    <w:rsid w:val="ED7131FB"/>
    <w:rsid w:val="EFBC1F92"/>
    <w:rsid w:val="F9F70FAB"/>
    <w:rsid w:val="FFCE98E8"/>
    <w:rsid w:val="FFFA70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99"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iPriority="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9">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2">
    <w:name w:val="Body Text First Indent"/>
    <w:basedOn w:val="3"/>
    <w:qFormat/>
    <w:uiPriority w:val="99"/>
    <w:pPr>
      <w:spacing w:after="0"/>
      <w:ind w:firstLine="420" w:firstLineChars="100"/>
    </w:pPr>
    <w:rPr>
      <w:rFonts w:ascii="Times New Roman" w:hAnsi="Times New Roman"/>
      <w:szCs w:val="24"/>
    </w:rPr>
  </w:style>
  <w:style w:type="paragraph" w:styleId="3">
    <w:name w:val="Body Text"/>
    <w:basedOn w:val="1"/>
    <w:qFormat/>
    <w:uiPriority w:val="99"/>
    <w:pPr>
      <w:spacing w:after="120"/>
    </w:pPr>
  </w:style>
  <w:style w:type="paragraph" w:styleId="4">
    <w:name w:val="Balloon Text"/>
    <w:basedOn w:val="1"/>
    <w:link w:val="20"/>
    <w:qFormat/>
    <w:uiPriority w:val="0"/>
    <w:rPr>
      <w:sz w:val="18"/>
      <w:szCs w:val="18"/>
    </w:rPr>
  </w:style>
  <w:style w:type="paragraph" w:styleId="5">
    <w:name w:val="footer"/>
    <w:basedOn w:val="1"/>
    <w:link w:val="18"/>
    <w:qFormat/>
    <w:uiPriority w:val="0"/>
    <w:pPr>
      <w:tabs>
        <w:tab w:val="center" w:pos="4153"/>
        <w:tab w:val="right" w:pos="8306"/>
      </w:tabs>
      <w:snapToGrid w:val="0"/>
      <w:jc w:val="left"/>
    </w:pPr>
    <w:rPr>
      <w:sz w:val="18"/>
      <w:szCs w:val="18"/>
    </w:rPr>
  </w:style>
  <w:style w:type="paragraph" w:styleId="6">
    <w:name w:val="header"/>
    <w:basedOn w:val="1"/>
    <w:link w:val="17"/>
    <w:qFormat/>
    <w:uiPriority w:val="0"/>
    <w:pPr>
      <w:pBdr>
        <w:bottom w:val="single" w:color="auto" w:sz="6" w:space="1"/>
      </w:pBdr>
      <w:tabs>
        <w:tab w:val="center" w:pos="4153"/>
        <w:tab w:val="right" w:pos="8306"/>
      </w:tabs>
      <w:snapToGrid w:val="0"/>
      <w:jc w:val="center"/>
    </w:pPr>
    <w:rPr>
      <w:sz w:val="18"/>
      <w:szCs w:val="18"/>
    </w:rPr>
  </w:style>
  <w:style w:type="paragraph" w:styleId="7">
    <w:name w:val="Normal (Web)"/>
    <w:basedOn w:val="1"/>
    <w:qFormat/>
    <w:uiPriority w:val="0"/>
    <w:pPr>
      <w:spacing w:beforeAutospacing="1" w:afterAutospacing="1"/>
      <w:jc w:val="left"/>
    </w:pPr>
    <w:rPr>
      <w:rFonts w:cs="Times New Roman"/>
      <w:kern w:val="0"/>
      <w:sz w:val="24"/>
    </w:rPr>
  </w:style>
  <w:style w:type="character" w:styleId="10">
    <w:name w:val="Strong"/>
    <w:basedOn w:val="9"/>
    <w:qFormat/>
    <w:uiPriority w:val="0"/>
    <w:rPr>
      <w:b/>
    </w:rPr>
  </w:style>
  <w:style w:type="character" w:styleId="11">
    <w:name w:val="Hyperlink"/>
    <w:basedOn w:val="9"/>
    <w:qFormat/>
    <w:uiPriority w:val="0"/>
    <w:rPr>
      <w:color w:val="0000FF"/>
      <w:u w:val="single"/>
    </w:rPr>
  </w:style>
  <w:style w:type="paragraph" w:customStyle="1" w:styleId="12">
    <w:name w:val="Default"/>
    <w:unhideWhenUsed/>
    <w:qFormat/>
    <w:uiPriority w:val="99"/>
    <w:pPr>
      <w:widowControl w:val="0"/>
      <w:autoSpaceDE w:val="0"/>
      <w:autoSpaceDN w:val="0"/>
      <w:adjustRightInd w:val="0"/>
    </w:pPr>
    <w:rPr>
      <w:rFonts w:hint="eastAsia" w:ascii="黑体" w:hAnsi="黑体" w:eastAsia="黑体" w:cs="Times New Roman"/>
      <w:color w:val="000000"/>
      <w:sz w:val="24"/>
      <w:lang w:val="en-US" w:eastAsia="zh-CN" w:bidi="ar-SA"/>
    </w:rPr>
  </w:style>
  <w:style w:type="table" w:customStyle="1" w:styleId="13">
    <w:name w:val="Table Normal"/>
    <w:semiHidden/>
    <w:unhideWhenUsed/>
    <w:qFormat/>
    <w:uiPriority w:val="2"/>
    <w:tblPr>
      <w:tblCellMar>
        <w:top w:w="0" w:type="dxa"/>
        <w:left w:w="0" w:type="dxa"/>
        <w:bottom w:w="0" w:type="dxa"/>
        <w:right w:w="0" w:type="dxa"/>
      </w:tblCellMar>
    </w:tblPr>
  </w:style>
  <w:style w:type="paragraph" w:styleId="14">
    <w:name w:val="List Paragraph"/>
    <w:basedOn w:val="1"/>
    <w:qFormat/>
    <w:uiPriority w:val="34"/>
    <w:pPr>
      <w:ind w:firstLine="420" w:firstLineChars="200"/>
    </w:pPr>
  </w:style>
  <w:style w:type="paragraph" w:customStyle="1" w:styleId="15">
    <w:name w:val="修订1"/>
    <w:hidden/>
    <w:semiHidden/>
    <w:qFormat/>
    <w:uiPriority w:val="99"/>
    <w:rPr>
      <w:rFonts w:asciiTheme="minorHAnsi" w:hAnsiTheme="minorHAnsi" w:eastAsiaTheme="minorEastAsia" w:cstheme="minorBidi"/>
      <w:kern w:val="2"/>
      <w:sz w:val="21"/>
      <w:szCs w:val="24"/>
      <w:lang w:val="en-US" w:eastAsia="zh-CN" w:bidi="ar-SA"/>
    </w:rPr>
  </w:style>
  <w:style w:type="character" w:customStyle="1" w:styleId="16">
    <w:name w:val="未处理的提及1"/>
    <w:basedOn w:val="9"/>
    <w:semiHidden/>
    <w:unhideWhenUsed/>
    <w:qFormat/>
    <w:uiPriority w:val="99"/>
    <w:rPr>
      <w:color w:val="605E5C"/>
      <w:shd w:val="clear" w:color="auto" w:fill="E1DFDD"/>
    </w:rPr>
  </w:style>
  <w:style w:type="character" w:customStyle="1" w:styleId="17">
    <w:name w:val="页眉 字符"/>
    <w:basedOn w:val="9"/>
    <w:link w:val="6"/>
    <w:qFormat/>
    <w:uiPriority w:val="0"/>
    <w:rPr>
      <w:rFonts w:asciiTheme="minorHAnsi" w:hAnsiTheme="minorHAnsi" w:eastAsiaTheme="minorEastAsia" w:cstheme="minorBidi"/>
      <w:kern w:val="2"/>
      <w:sz w:val="18"/>
      <w:szCs w:val="18"/>
    </w:rPr>
  </w:style>
  <w:style w:type="character" w:customStyle="1" w:styleId="18">
    <w:name w:val="页脚 字符"/>
    <w:basedOn w:val="9"/>
    <w:link w:val="5"/>
    <w:qFormat/>
    <w:uiPriority w:val="0"/>
    <w:rPr>
      <w:rFonts w:asciiTheme="minorHAnsi" w:hAnsiTheme="minorHAnsi" w:eastAsiaTheme="minorEastAsia" w:cstheme="minorBidi"/>
      <w:kern w:val="2"/>
      <w:sz w:val="18"/>
      <w:szCs w:val="18"/>
    </w:rPr>
  </w:style>
  <w:style w:type="character" w:customStyle="1" w:styleId="19">
    <w:name w:val="Unresolved Mention"/>
    <w:basedOn w:val="9"/>
    <w:semiHidden/>
    <w:unhideWhenUsed/>
    <w:qFormat/>
    <w:uiPriority w:val="99"/>
    <w:rPr>
      <w:color w:val="605E5C"/>
      <w:shd w:val="clear" w:color="auto" w:fill="E1DFDD"/>
    </w:rPr>
  </w:style>
  <w:style w:type="character" w:customStyle="1" w:styleId="20">
    <w:name w:val="批注框文本 字符"/>
    <w:basedOn w:val="9"/>
    <w:link w:val="4"/>
    <w:qFormat/>
    <w:uiPriority w:val="0"/>
    <w:rPr>
      <w:rFonts w:asciiTheme="minorHAnsi" w:hAnsiTheme="minorHAnsi" w:eastAsiaTheme="minorEastAsia" w:cstheme="minorBidi"/>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image" Target="media/image15.jpe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神州网信技术有限公司</Company>
  <Pages>28</Pages>
  <Words>14048</Words>
  <Characters>16619</Characters>
  <Lines>60</Lines>
  <Paragraphs>16</Paragraphs>
  <TotalTime>1</TotalTime>
  <ScaleCrop>false</ScaleCrop>
  <LinksUpToDate>false</LinksUpToDate>
  <CharactersWithSpaces>17002</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2024-06-05T05:29:00Z</dcterms:created>
  <dc:creator>a</dc:creator>
  <cp:lastModifiedBy>源妈妈</cp:lastModifiedBy>
  <cp:lastPrinted>2024-06-04T06:04:00Z</cp:lastPrinted>
  <dcterms:modified xsi:type="dcterms:W3CDTF">2026-06-18T07:13:20Z</dcterms:modified>
  <cp:revision>54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01A3A065D79D4F2CB5C2DEC20B41A632_13</vt:lpwstr>
  </property>
  <property fmtid="{D5CDD505-2E9C-101B-9397-08002B2CF9AE}" pid="4" name="KSOTemplateDocerSaveRecord">
    <vt:lpwstr>eyJoZGlkIjoiMDdjOGMwYTkxMzQ1OTAyMmI0NDMwYjYxMzIxMjNhNjAiLCJ1c2VySWQiOiI2NTAyNDkxNTMifQ==</vt:lpwstr>
  </property>
</Properties>
</file>